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AAD" w:rsidRPr="00B70D06" w:rsidRDefault="00EA6AAD" w:rsidP="00EA6AAD">
      <w:pPr>
        <w:spacing w:after="200" w:line="276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70D06">
        <w:rPr>
          <w:rFonts w:ascii="Times New Roman" w:hAnsi="Times New Roman" w:cs="Times New Roman"/>
          <w:b/>
          <w:i/>
          <w:sz w:val="24"/>
          <w:szCs w:val="24"/>
          <w:lang w:val="fr-FR"/>
        </w:rPr>
        <w:t>ex æquo</w:t>
      </w:r>
      <w:r w:rsidRPr="00B70D0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no. 36</w:t>
      </w:r>
    </w:p>
    <w:p w:rsidR="00EA6AAD" w:rsidRPr="00B70D06" w:rsidRDefault="00EA6AAD" w:rsidP="00EA6AAD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70D06">
        <w:rPr>
          <w:rFonts w:ascii="Times New Roman" w:hAnsi="Times New Roman" w:cs="Times New Roman"/>
          <w:sz w:val="24"/>
          <w:szCs w:val="24"/>
          <w:lang w:val="fr-FR"/>
        </w:rPr>
        <w:t>APPEL A CO</w:t>
      </w:r>
      <w:r w:rsidR="00F96F73">
        <w:rPr>
          <w:rFonts w:ascii="Times New Roman" w:hAnsi="Times New Roman" w:cs="Times New Roman"/>
          <w:sz w:val="24"/>
          <w:szCs w:val="24"/>
          <w:lang w:val="fr-FR"/>
        </w:rPr>
        <w:t>NTRIBUTIONS</w:t>
      </w:r>
    </w:p>
    <w:p w:rsidR="00EA6AAD" w:rsidRPr="00B70D06" w:rsidRDefault="00EA6AAD" w:rsidP="00EA6AA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70D06">
        <w:rPr>
          <w:rFonts w:ascii="Times New Roman" w:hAnsi="Times New Roman" w:cs="Times New Roman"/>
          <w:b/>
          <w:sz w:val="24"/>
          <w:szCs w:val="24"/>
          <w:lang w:val="fr-FR"/>
        </w:rPr>
        <w:t>Dossi</w:t>
      </w:r>
      <w:r w:rsidR="001D7D34" w:rsidRPr="00B70D06">
        <w:rPr>
          <w:rFonts w:ascii="Times New Roman" w:hAnsi="Times New Roman" w:cs="Times New Roman"/>
          <w:b/>
          <w:sz w:val="24"/>
          <w:szCs w:val="24"/>
          <w:lang w:val="fr-FR"/>
        </w:rPr>
        <w:t>er</w:t>
      </w:r>
      <w:r w:rsidR="00F4542F" w:rsidRPr="00B70D06">
        <w:rPr>
          <w:rFonts w:ascii="Times New Roman" w:hAnsi="Times New Roman" w:cs="Times New Roman"/>
          <w:b/>
          <w:sz w:val="24"/>
          <w:szCs w:val="24"/>
          <w:lang w:val="fr-FR"/>
        </w:rPr>
        <w:t>: "</w:t>
      </w:r>
      <w:r w:rsidR="00AF2604" w:rsidRPr="00B70D06">
        <w:rPr>
          <w:rFonts w:ascii="Times New Roman" w:hAnsi="Times New Roman" w:cs="Times New Roman"/>
          <w:b/>
          <w:sz w:val="24"/>
          <w:szCs w:val="24"/>
          <w:lang w:val="fr-FR"/>
        </w:rPr>
        <w:t>L</w:t>
      </w:r>
      <w:r w:rsidR="00F4542F" w:rsidRPr="00B70D06">
        <w:rPr>
          <w:rFonts w:ascii="Times New Roman" w:hAnsi="Times New Roman" w:cs="Times New Roman"/>
          <w:b/>
          <w:sz w:val="24"/>
          <w:szCs w:val="24"/>
          <w:lang w:val="fr-FR"/>
        </w:rPr>
        <w:t xml:space="preserve">e </w:t>
      </w:r>
      <w:r w:rsidR="00AF2604" w:rsidRPr="00B70D06">
        <w:rPr>
          <w:rFonts w:ascii="Times New Roman" w:hAnsi="Times New Roman" w:cs="Times New Roman"/>
          <w:b/>
          <w:sz w:val="24"/>
          <w:szCs w:val="24"/>
          <w:lang w:val="fr-FR"/>
        </w:rPr>
        <w:t>genre</w:t>
      </w:r>
      <w:r w:rsidR="00F4542F" w:rsidRPr="00B70D06">
        <w:rPr>
          <w:rFonts w:ascii="Times New Roman" w:hAnsi="Times New Roman" w:cs="Times New Roman"/>
          <w:b/>
          <w:sz w:val="24"/>
          <w:szCs w:val="24"/>
          <w:lang w:val="fr-FR"/>
        </w:rPr>
        <w:t>, l'éducation et</w:t>
      </w:r>
      <w:r w:rsidR="00F96F7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la citoyenneté</w:t>
      </w:r>
      <w:r w:rsidRPr="00B70D06">
        <w:rPr>
          <w:rFonts w:ascii="Times New Roman" w:hAnsi="Times New Roman" w:cs="Times New Roman"/>
          <w:b/>
          <w:sz w:val="24"/>
          <w:szCs w:val="24"/>
          <w:lang w:val="fr-FR"/>
        </w:rPr>
        <w:t>: connaissance, absences et (in)visibilités"</w:t>
      </w:r>
    </w:p>
    <w:p w:rsidR="00EA6AAD" w:rsidRPr="00FD3154" w:rsidRDefault="00E86C4A" w:rsidP="00D75051">
      <w:pPr>
        <w:spacing w:after="200" w:line="276" w:lineRule="auto"/>
        <w:ind w:left="1276" w:hanging="141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Coordination : </w:t>
      </w:r>
      <w:r w:rsidR="00EA6AAD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Cristina C. Vieira - Faculté de Psychologie et des Sciences de </w:t>
      </w:r>
      <w:r w:rsidR="002F7D50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l’Education, </w:t>
      </w:r>
      <w:r w:rsidR="00EA6AAD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Université de Coimbra et Centre </w:t>
      </w:r>
      <w:r w:rsidR="006848CC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d’Études Interdisciplinaires </w:t>
      </w:r>
      <w:r w:rsidR="00822B23" w:rsidRPr="00FD3154">
        <w:rPr>
          <w:rFonts w:ascii="Times New Roman" w:hAnsi="Times New Roman" w:cs="Times New Roman"/>
          <w:sz w:val="24"/>
          <w:szCs w:val="24"/>
          <w:lang w:val="fr-FR"/>
        </w:rPr>
        <w:t>pour le XX</w:t>
      </w:r>
      <w:r w:rsidR="00EA6AAD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r w:rsidR="00F96F73" w:rsidRPr="00FD3154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EA6AAD" w:rsidRPr="00FD3154">
        <w:rPr>
          <w:rFonts w:ascii="Times New Roman" w:hAnsi="Times New Roman" w:cs="Times New Roman"/>
          <w:sz w:val="24"/>
          <w:szCs w:val="24"/>
          <w:lang w:val="fr-FR"/>
        </w:rPr>
        <w:t>iècle, Portugal.</w:t>
      </w:r>
    </w:p>
    <w:p w:rsidR="00EA6AAD" w:rsidRPr="00FD3154" w:rsidRDefault="00D75051" w:rsidP="00EA6AAD">
      <w:pPr>
        <w:spacing w:after="200" w:line="276" w:lineRule="auto"/>
        <w:ind w:left="1276"/>
        <w:rPr>
          <w:rFonts w:ascii="Times New Roman" w:hAnsi="Times New Roman" w:cs="Times New Roman"/>
          <w:sz w:val="24"/>
          <w:szCs w:val="24"/>
          <w:lang w:val="fr-FR"/>
        </w:rPr>
      </w:pPr>
      <w:r w:rsidRPr="00FD3154">
        <w:rPr>
          <w:rFonts w:ascii="Times New Roman" w:hAnsi="Times New Roman" w:cs="Times New Roman"/>
          <w:sz w:val="24"/>
          <w:szCs w:val="24"/>
          <w:lang w:val="fr-FR"/>
        </w:rPr>
        <w:t>Teresa Alvarez - Centre d'É</w:t>
      </w:r>
      <w:r w:rsidR="00EA6AAD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tudes sur les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EA6AAD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igrations et les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EA6AAD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elations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EA6AAD" w:rsidRPr="00FD3154">
        <w:rPr>
          <w:rFonts w:ascii="Times New Roman" w:hAnsi="Times New Roman" w:cs="Times New Roman"/>
          <w:sz w:val="24"/>
          <w:szCs w:val="24"/>
          <w:lang w:val="fr-FR"/>
        </w:rPr>
        <w:t>nterculturelles/</w:t>
      </w:r>
      <w:r w:rsidR="001D7D34" w:rsidRPr="00FD3154">
        <w:rPr>
          <w:rFonts w:ascii="Times New Roman" w:hAnsi="Times New Roman" w:cs="Times New Roman"/>
          <w:sz w:val="24"/>
          <w:szCs w:val="24"/>
          <w:lang w:val="fr-FR"/>
        </w:rPr>
        <w:t>Universi</w:t>
      </w:r>
      <w:r w:rsidR="006848CC" w:rsidRPr="00FD3154">
        <w:rPr>
          <w:rFonts w:ascii="Times New Roman" w:hAnsi="Times New Roman" w:cs="Times New Roman"/>
          <w:sz w:val="24"/>
          <w:szCs w:val="24"/>
          <w:lang w:val="fr-FR"/>
        </w:rPr>
        <w:t>té Ouverte</w:t>
      </w:r>
      <w:r w:rsidR="00EA6AAD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, Portugal. </w:t>
      </w:r>
    </w:p>
    <w:p w:rsidR="00F96F73" w:rsidRPr="00FD3154" w:rsidRDefault="00E86C4A" w:rsidP="00F96F73">
      <w:pPr>
        <w:spacing w:after="200" w:line="276" w:lineRule="auto"/>
        <w:ind w:left="1276"/>
        <w:rPr>
          <w:rFonts w:ascii="Times New Roman" w:hAnsi="Times New Roman" w:cs="Times New Roman"/>
          <w:sz w:val="24"/>
          <w:szCs w:val="24"/>
          <w:lang w:val="fr-FR"/>
        </w:rPr>
      </w:pP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Joanna </w:t>
      </w:r>
      <w:proofErr w:type="spellStart"/>
      <w:r w:rsidR="00EA6AAD" w:rsidRPr="00FD3154">
        <w:rPr>
          <w:rFonts w:ascii="Times New Roman" w:hAnsi="Times New Roman" w:cs="Times New Roman"/>
          <w:sz w:val="24"/>
          <w:szCs w:val="24"/>
          <w:lang w:val="fr-FR"/>
        </w:rPr>
        <w:t>Ostrouch-Kaminska</w:t>
      </w:r>
      <w:proofErr w:type="spellEnd"/>
      <w:r w:rsidR="00EA6AAD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r w:rsidR="00286532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Faculté des </w:t>
      </w:r>
      <w:r w:rsidR="00F96F73" w:rsidRPr="00FD3154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286532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ciences </w:t>
      </w:r>
      <w:r w:rsidR="00F96F73" w:rsidRPr="00FD3154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286532" w:rsidRPr="00FD3154">
        <w:rPr>
          <w:rFonts w:ascii="Times New Roman" w:hAnsi="Times New Roman" w:cs="Times New Roman"/>
          <w:sz w:val="24"/>
          <w:szCs w:val="24"/>
          <w:lang w:val="fr-FR"/>
        </w:rPr>
        <w:t>ociales, U</w:t>
      </w:r>
      <w:r w:rsidR="00EA6AAD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niversité de Warmie et Mazurie, Olsztyn, Pologne. </w:t>
      </w:r>
    </w:p>
    <w:p w:rsidR="00EA6AAD" w:rsidRPr="00FD3154" w:rsidRDefault="00EA6AAD" w:rsidP="00EA6AAD">
      <w:pPr>
        <w:spacing w:after="200" w:line="276" w:lineRule="auto"/>
        <w:ind w:left="1276"/>
        <w:rPr>
          <w:rFonts w:ascii="Times New Roman" w:hAnsi="Times New Roman" w:cs="Times New Roman"/>
          <w:sz w:val="24"/>
          <w:szCs w:val="24"/>
          <w:lang w:val="fr-FR"/>
        </w:rPr>
      </w:pPr>
      <w:r w:rsidRPr="00FD3154">
        <w:rPr>
          <w:rFonts w:ascii="Times New Roman" w:hAnsi="Times New Roman" w:cs="Times New Roman"/>
          <w:sz w:val="24"/>
          <w:szCs w:val="24"/>
          <w:lang w:val="fr-FR"/>
        </w:rPr>
        <w:t>Date de soumission : le 15 mai 2017 (à paraître en novembre 2017)</w:t>
      </w:r>
    </w:p>
    <w:p w:rsidR="00EA6AAD" w:rsidRPr="00FD3154" w:rsidRDefault="00EA6AAD" w:rsidP="00EA6AAD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33369B" w:rsidRPr="00FD3154" w:rsidRDefault="008520F2" w:rsidP="000575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6848CC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nécessité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d'utiliser une approche </w:t>
      </w:r>
      <w:r w:rsidR="006848CC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sensible au genre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>dans les diff</w:t>
      </w:r>
      <w:r w:rsidR="00286532" w:rsidRPr="00FD3154">
        <w:rPr>
          <w:rFonts w:ascii="Times New Roman" w:hAnsi="Times New Roman" w:cs="Times New Roman"/>
          <w:sz w:val="24"/>
          <w:szCs w:val="24"/>
          <w:lang w:val="fr-FR"/>
        </w:rPr>
        <w:t>érents contextes</w:t>
      </w:r>
      <w:r w:rsidR="009F40C4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="00286532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espaces </w:t>
      </w:r>
      <w:r w:rsidR="005F0CC3" w:rsidRPr="00FD3154">
        <w:rPr>
          <w:rFonts w:ascii="Times New Roman" w:hAnsi="Times New Roman" w:cs="Times New Roman"/>
          <w:sz w:val="24"/>
          <w:szCs w:val="24"/>
          <w:lang w:val="fr-FR"/>
        </w:rPr>
        <w:t>éducatifs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>, qu'ils soient formels ou informels</w:t>
      </w:r>
      <w:r w:rsidR="00286532" w:rsidRPr="00FD3154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semble ne pas avoir besoin de beaucoup d'explications, étant donné </w:t>
      </w:r>
      <w:r w:rsidR="00C65A94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la constatation </w:t>
      </w:r>
      <w:r w:rsidR="00822B23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de la persistance, </w:t>
      </w:r>
      <w:r w:rsidR="009F40C4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>la reconfiguration des inégalités et de la discrimination sexuelle enracinée</w:t>
      </w:r>
      <w:r w:rsidR="00C65A94" w:rsidRPr="00FD3154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dans la différence de pouvoir entre hommes et femmes.</w:t>
      </w:r>
      <w:r w:rsidR="00AB0337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En raison de la multi</w:t>
      </w:r>
      <w:r w:rsidR="00A73EEF" w:rsidRPr="00FD3154">
        <w:rPr>
          <w:rFonts w:ascii="Times New Roman" w:hAnsi="Times New Roman" w:cs="Times New Roman"/>
          <w:sz w:val="24"/>
          <w:szCs w:val="24"/>
          <w:lang w:val="fr-FR"/>
        </w:rPr>
        <w:t>plicité d´</w:t>
      </w:r>
      <w:r w:rsidR="00AB0337" w:rsidRPr="00FD3154">
        <w:rPr>
          <w:rFonts w:ascii="Times New Roman" w:hAnsi="Times New Roman" w:cs="Times New Roman"/>
          <w:sz w:val="24"/>
          <w:szCs w:val="24"/>
          <w:lang w:val="fr-FR"/>
        </w:rPr>
        <w:t>identités des individus et de leurs circonstances personnelles et sociales, cette différence de pouvoir, qui est inséparable de l'</w:t>
      </w:r>
      <w:proofErr w:type="spellStart"/>
      <w:r w:rsidR="00AB0337" w:rsidRPr="00FD3154">
        <w:rPr>
          <w:rFonts w:ascii="Times New Roman" w:hAnsi="Times New Roman" w:cs="Times New Roman"/>
          <w:sz w:val="24"/>
          <w:szCs w:val="24"/>
          <w:lang w:val="fr-FR"/>
        </w:rPr>
        <w:t>intersectionnalité</w:t>
      </w:r>
      <w:proofErr w:type="spellEnd"/>
      <w:r w:rsidR="00AB0337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de</w:t>
      </w:r>
      <w:r w:rsidR="00C65A94" w:rsidRPr="00FD3154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AB0337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caractéristiques, présente quelques défis</w:t>
      </w:r>
      <w:r w:rsidR="00B762EE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qui ne sont</w:t>
      </w:r>
      <w:r w:rsidR="00AB0337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pas toujours consciemment </w:t>
      </w:r>
      <w:proofErr w:type="spellStart"/>
      <w:r w:rsidR="00CB1E3C" w:rsidRPr="00FD3154">
        <w:rPr>
          <w:rFonts w:ascii="Times New Roman" w:hAnsi="Times New Roman" w:cs="Times New Roman"/>
          <w:sz w:val="24"/>
          <w:szCs w:val="24"/>
          <w:lang w:val="fr-FR"/>
        </w:rPr>
        <w:t>désoccultés</w:t>
      </w:r>
      <w:proofErr w:type="spellEnd"/>
      <w:r w:rsidR="00CB1E3C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86532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ou </w:t>
      </w:r>
      <w:r w:rsidR="00CB1E3C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traités </w:t>
      </w:r>
      <w:r w:rsidR="00AB0337" w:rsidRPr="00FD3154">
        <w:rPr>
          <w:rFonts w:ascii="Times New Roman" w:hAnsi="Times New Roman" w:cs="Times New Roman"/>
          <w:sz w:val="24"/>
          <w:szCs w:val="24"/>
          <w:lang w:val="fr-FR"/>
        </w:rPr>
        <w:t>par ceux qui enseignent et ceux qui apprennent.</w:t>
      </w:r>
    </w:p>
    <w:p w:rsidR="00BC3313" w:rsidRPr="00FD3154" w:rsidRDefault="00BC3313" w:rsidP="000575B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>L'éducation formelle et</w:t>
      </w:r>
      <w:r w:rsidR="00C65A94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 le système scolaire, en particulier, </w:t>
      </w:r>
      <w:r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>part</w:t>
      </w:r>
      <w:r w:rsidR="003809B4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>agent</w:t>
      </w:r>
      <w:r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 inévitablement </w:t>
      </w:r>
      <w:r w:rsidR="00C65A94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>les</w:t>
      </w:r>
      <w:r w:rsidR="00435120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 </w:t>
      </w:r>
      <w:r w:rsidR="00C65A94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fondements </w:t>
      </w:r>
      <w:r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sexistes </w:t>
      </w:r>
      <w:r w:rsidR="00D2626C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de </w:t>
      </w:r>
      <w:r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>l'inégalité sociale entre les hommes et les femmes</w:t>
      </w:r>
      <w:r w:rsidR="00D2626C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 </w:t>
      </w:r>
      <w:r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 qui sont communes à tous les autre</w:t>
      </w:r>
      <w:r w:rsidR="00CB1E3C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s systèmes sociaux, </w:t>
      </w:r>
      <w:r w:rsidR="00902D8A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du </w:t>
      </w:r>
      <w:r w:rsidR="00C374E0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marché </w:t>
      </w:r>
      <w:r w:rsidR="00902D8A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du </w:t>
      </w:r>
      <w:r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>travail</w:t>
      </w:r>
      <w:r w:rsidR="00902D8A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 à l’académie,</w:t>
      </w:r>
      <w:r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 de la politique à la culture.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Comme Nicole Mosconi (2009) a souligné, les mécanismes sociaux </w:t>
      </w:r>
      <w:r w:rsidR="00902D8A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de genre </w:t>
      </w:r>
      <w:r w:rsidR="00D52FC6" w:rsidRPr="00FD3154">
        <w:rPr>
          <w:rFonts w:ascii="Times New Roman" w:hAnsi="Times New Roman" w:cs="Times New Roman"/>
          <w:sz w:val="24"/>
          <w:szCs w:val="24"/>
          <w:lang w:val="fr-FR"/>
        </w:rPr>
        <w:t>agissent</w:t>
      </w:r>
      <w:r w:rsidR="00CB1E3C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à l'intérieur de l'école </w:t>
      </w:r>
      <w:r w:rsidR="00D52FC6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de la même façon qu'ils existent et agissent dans l`ensemble de la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société. </w:t>
      </w:r>
      <w:r w:rsidR="00D52FC6" w:rsidRPr="00FD3154">
        <w:rPr>
          <w:rFonts w:ascii="Times New Roman" w:hAnsi="Times New Roman" w:cs="Times New Roman"/>
          <w:sz w:val="24"/>
          <w:szCs w:val="24"/>
          <w:lang w:val="fr-FR"/>
        </w:rPr>
        <w:t>Cela permet d'expliquer que</w:t>
      </w:r>
      <w:r w:rsidR="00902D8A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les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>dynamique</w:t>
      </w:r>
      <w:r w:rsidR="00A73EEF" w:rsidRPr="00FD3154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52FC6" w:rsidRPr="00FD3154">
        <w:rPr>
          <w:rFonts w:ascii="Times New Roman" w:hAnsi="Times New Roman" w:cs="Times New Roman"/>
          <w:sz w:val="24"/>
          <w:szCs w:val="24"/>
          <w:lang w:val="fr-FR"/>
        </w:rPr>
        <w:t>scolaires,</w:t>
      </w:r>
      <w:r w:rsidR="00A73EEF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2626C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des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>étudiant</w:t>
      </w:r>
      <w:r w:rsidR="008000B9" w:rsidRPr="00FD3154">
        <w:rPr>
          <w:rFonts w:ascii="Times New Roman" w:hAnsi="Times New Roman" w:cs="Times New Roman"/>
          <w:sz w:val="24"/>
          <w:szCs w:val="24"/>
          <w:lang w:val="fr-FR"/>
        </w:rPr>
        <w:t>-e-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s et </w:t>
      </w:r>
      <w:r w:rsidR="00D2626C" w:rsidRPr="00FD3154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902D8A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es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>enseignant</w:t>
      </w:r>
      <w:r w:rsidR="008000B9" w:rsidRPr="00FD3154">
        <w:rPr>
          <w:rFonts w:ascii="Times New Roman" w:hAnsi="Times New Roman" w:cs="Times New Roman"/>
          <w:sz w:val="24"/>
          <w:szCs w:val="24"/>
          <w:lang w:val="fr-FR"/>
        </w:rPr>
        <w:t>-e-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D52FC6" w:rsidRPr="00FD3154">
        <w:rPr>
          <w:rFonts w:ascii="Times New Roman" w:hAnsi="Times New Roman" w:cs="Times New Roman"/>
          <w:sz w:val="24"/>
          <w:szCs w:val="24"/>
          <w:lang w:val="fr-FR"/>
        </w:rPr>
        <w:t>, proportionnent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des </w:t>
      </w:r>
      <w:r w:rsidR="00A73EEF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expériences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>différentes pour les garçons et les filles.</w:t>
      </w:r>
    </w:p>
    <w:p w:rsidR="00907CB8" w:rsidRPr="00FD3154" w:rsidRDefault="00BC3313" w:rsidP="000575B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D3154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8000B9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es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>apprentissage</w:t>
      </w:r>
      <w:r w:rsidR="008000B9" w:rsidRPr="00FD3154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de chacun des sexes, soit </w:t>
      </w:r>
      <w:r w:rsidR="004925FB" w:rsidRPr="00FD3154">
        <w:rPr>
          <w:rFonts w:ascii="Times New Roman" w:hAnsi="Times New Roman" w:cs="Times New Roman"/>
          <w:sz w:val="24"/>
          <w:szCs w:val="24"/>
          <w:lang w:val="fr-FR"/>
        </w:rPr>
        <w:t>des connaissances</w:t>
      </w:r>
      <w:r w:rsidR="008000B9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, soit au niveau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="008000B9" w:rsidRPr="00FD3154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compétences person</w:t>
      </w:r>
      <w:r w:rsidR="00F4402B" w:rsidRPr="00FD3154">
        <w:rPr>
          <w:rFonts w:ascii="Times New Roman" w:hAnsi="Times New Roman" w:cs="Times New Roman"/>
          <w:sz w:val="24"/>
          <w:szCs w:val="24"/>
          <w:lang w:val="fr-FR"/>
        </w:rPr>
        <w:t>nelles et sociales, mélangent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, d'une manière dynamique, </w:t>
      </w:r>
      <w:r w:rsidR="004925FB" w:rsidRPr="00FD3154">
        <w:rPr>
          <w:rFonts w:ascii="Times New Roman" w:hAnsi="Times New Roman" w:cs="Times New Roman"/>
          <w:sz w:val="24"/>
          <w:szCs w:val="24"/>
          <w:lang w:val="fr-FR"/>
        </w:rPr>
        <w:t>des performances et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des visions</w:t>
      </w:r>
      <w:r w:rsidR="005C4831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4402B" w:rsidRPr="00FD3154">
        <w:rPr>
          <w:rFonts w:ascii="Times New Roman" w:hAnsi="Times New Roman" w:cs="Times New Roman"/>
          <w:sz w:val="24"/>
          <w:szCs w:val="24"/>
          <w:lang w:val="fr-FR"/>
        </w:rPr>
        <w:t>gendrées</w:t>
      </w:r>
      <w:proofErr w:type="spellEnd"/>
      <w:r w:rsidR="00F4402B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C4831" w:rsidRPr="00FD3154">
        <w:rPr>
          <w:rFonts w:ascii="Times New Roman" w:hAnsi="Times New Roman" w:cs="Times New Roman"/>
          <w:sz w:val="24"/>
          <w:szCs w:val="24"/>
          <w:lang w:val="fr-FR"/>
        </w:rPr>
        <w:t>de soi-même, des autres et du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monde, </w:t>
      </w:r>
      <w:r w:rsidR="005C4831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="005C4831" w:rsidRPr="00FD3154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partir desquelles sont construites et reconstruites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>des relations de pouvoir as</w:t>
      </w:r>
      <w:r w:rsidR="000A65C6" w:rsidRPr="00FD3154">
        <w:rPr>
          <w:rFonts w:ascii="Times New Roman" w:hAnsi="Times New Roman" w:cs="Times New Roman"/>
          <w:sz w:val="24"/>
          <w:szCs w:val="24"/>
          <w:lang w:val="fr-FR"/>
        </w:rPr>
        <w:t>ymétriques</w:t>
      </w:r>
      <w:r w:rsidR="00A73EEF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>entre les sexes. Ces relations sont peu susceptibles de changer si le</w:t>
      </w:r>
      <w:r w:rsidR="000A65C6" w:rsidRPr="00FD3154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connaissances androcentriques véhiculée</w:t>
      </w:r>
      <w:r w:rsidR="000A65C6" w:rsidRPr="00FD3154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par l'école</w:t>
      </w:r>
      <w:r w:rsidR="00F06800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F06800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e deviennent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>pas objet d'interrogation, de rénovation et de mise à jour, devenant ainsi aussi émancipateur pour les filles et les garçons (Alvarez et Vieira 2014).</w:t>
      </w:r>
    </w:p>
    <w:p w:rsidR="00024D7E" w:rsidRPr="00FD3154" w:rsidRDefault="000A65C6" w:rsidP="000575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</w:pP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L'éducation </w:t>
      </w:r>
      <w:r w:rsidR="00BC3313" w:rsidRPr="00FD3154">
        <w:rPr>
          <w:rFonts w:ascii="Times New Roman" w:hAnsi="Times New Roman" w:cs="Times New Roman"/>
          <w:sz w:val="24"/>
          <w:szCs w:val="24"/>
          <w:lang w:val="fr-FR"/>
        </w:rPr>
        <w:t>assure</w:t>
      </w:r>
      <w:r w:rsidR="00F06800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l’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>apprentissage</w:t>
      </w:r>
      <w:r w:rsidR="00BC3313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de</w:t>
      </w:r>
      <w:r w:rsidR="00F06800" w:rsidRPr="00FD3154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BC3313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rè</w:t>
      </w:r>
      <w:r w:rsidR="00907CB8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gles </w:t>
      </w:r>
      <w:r w:rsidR="00F06800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et des normes </w:t>
      </w:r>
      <w:r w:rsidR="00907CB8" w:rsidRPr="00FD3154">
        <w:rPr>
          <w:rFonts w:ascii="Times New Roman" w:hAnsi="Times New Roman" w:cs="Times New Roman"/>
          <w:sz w:val="24"/>
          <w:szCs w:val="24"/>
          <w:lang w:val="fr-FR"/>
        </w:rPr>
        <w:t>d´</w:t>
      </w:r>
      <w:r w:rsidR="00BC3313" w:rsidRPr="00FD3154">
        <w:rPr>
          <w:rFonts w:ascii="Times New Roman" w:hAnsi="Times New Roman" w:cs="Times New Roman"/>
          <w:sz w:val="24"/>
          <w:szCs w:val="24"/>
          <w:lang w:val="fr-FR"/>
        </w:rPr>
        <w:t>interaction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06800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qui conditionnent </w:t>
      </w:r>
      <w:r w:rsidR="00BC3313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les relations entre les sexes, configurées et </w:t>
      </w:r>
      <w:r w:rsidR="007045D4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concrétisées </w:t>
      </w:r>
      <w:r w:rsidR="00BC3313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dans le cadre d'une culture </w:t>
      </w:r>
      <w:proofErr w:type="spellStart"/>
      <w:r w:rsidR="00BC3313" w:rsidRPr="00FD3154">
        <w:rPr>
          <w:rFonts w:ascii="Times New Roman" w:hAnsi="Times New Roman" w:cs="Times New Roman"/>
          <w:sz w:val="24"/>
          <w:szCs w:val="24"/>
          <w:lang w:val="fr-FR"/>
        </w:rPr>
        <w:t>androcentrique</w:t>
      </w:r>
      <w:proofErr w:type="spellEnd"/>
      <w:r w:rsidR="007045D4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dominante</w:t>
      </w:r>
      <w:r w:rsidR="00BC3313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7045D4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Cette culture </w:t>
      </w:r>
      <w:r w:rsidR="00BC3313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constitue </w:t>
      </w:r>
      <w:r w:rsidR="00907CB8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l'un des plus </w:t>
      </w:r>
      <w:r w:rsidR="007045D4" w:rsidRPr="00FD3154">
        <w:rPr>
          <w:rFonts w:ascii="Times New Roman" w:hAnsi="Times New Roman" w:cs="Times New Roman"/>
          <w:sz w:val="24"/>
          <w:szCs w:val="24"/>
          <w:lang w:val="fr-FR"/>
        </w:rPr>
        <w:t>puissants</w:t>
      </w:r>
      <w:r w:rsidR="00BC3313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="00907CB8" w:rsidRPr="00FD3154">
        <w:rPr>
          <w:rFonts w:ascii="Times New Roman" w:hAnsi="Times New Roman" w:cs="Times New Roman"/>
          <w:sz w:val="24"/>
          <w:szCs w:val="24"/>
          <w:lang w:val="fr-FR"/>
        </w:rPr>
        <w:t>invisible</w:t>
      </w:r>
      <w:r w:rsidR="007045D4" w:rsidRPr="00FD3154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907CB8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mécanisme</w:t>
      </w:r>
      <w:r w:rsidR="007045D4" w:rsidRPr="00FD3154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5F0CC3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de reproduction et légitimation d</w:t>
      </w:r>
      <w:r w:rsidR="00BC3313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es inégalités sociales entre les hommes et les femmes. </w:t>
      </w:r>
      <w:r w:rsidR="002E7813" w:rsidRPr="00FD3154">
        <w:rPr>
          <w:rFonts w:ascii="Times New Roman" w:eastAsia="Times New Roman" w:hAnsi="Times New Roman" w:cs="Times New Roman"/>
          <w:sz w:val="24"/>
          <w:szCs w:val="24"/>
        </w:rPr>
        <w:object w:dxaOrig="12105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.35pt" o:ole="">
            <v:imagedata r:id="rId5" o:title=""/>
          </v:shape>
          <w:control r:id="rId6" w:name="DefaultOcxName1" w:shapeid="_x0000_i1028"/>
        </w:object>
      </w:r>
      <w:r w:rsidR="00BC3313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L'incorporation de cette culture </w:t>
      </w:r>
      <w:proofErr w:type="spellStart"/>
      <w:r w:rsidR="00BC3313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>androcentrique</w:t>
      </w:r>
      <w:proofErr w:type="spellEnd"/>
      <w:r w:rsidR="00BC3313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, </w:t>
      </w:r>
      <w:r w:rsidR="007045D4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qui demeure </w:t>
      </w:r>
      <w:r w:rsidR="00024D7E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>hégémonique et présente</w:t>
      </w:r>
      <w:r w:rsidR="00A73EEF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 </w:t>
      </w:r>
      <w:r w:rsidR="00BC3313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dans les différents contextes, formels et informels de l'éducation et </w:t>
      </w:r>
      <w:r w:rsidR="00024D7E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de </w:t>
      </w:r>
      <w:r w:rsidR="00BC3313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>l'enseignem</w:t>
      </w:r>
      <w:r w:rsidR="00024D7E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ent, </w:t>
      </w:r>
      <w:r w:rsidR="007045D4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conduit à </w:t>
      </w:r>
      <w:r w:rsidR="00024D7E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des </w:t>
      </w:r>
      <w:r w:rsidR="00BC3313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>apprentissage</w:t>
      </w:r>
      <w:r w:rsidR="00024D7E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>s</w:t>
      </w:r>
      <w:r w:rsidR="00A73EEF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 </w:t>
      </w:r>
      <w:r w:rsidR="00BC3313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de subordination, comme </w:t>
      </w:r>
      <w:r w:rsidR="00024D7E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nous rappelle </w:t>
      </w:r>
      <w:r w:rsidR="00BC3313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Marina </w:t>
      </w:r>
      <w:proofErr w:type="spellStart"/>
      <w:r w:rsidR="00BC3313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>Subirats</w:t>
      </w:r>
      <w:proofErr w:type="spellEnd"/>
      <w:r w:rsidR="00BC3313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 (2016), et </w:t>
      </w:r>
      <w:r w:rsidR="006E62C4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à </w:t>
      </w:r>
      <w:r w:rsidR="00BC3313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la "naturalisation" de la façon dont les différents jugements de valeur sont effectués sur </w:t>
      </w:r>
      <w:r w:rsidR="006E62C4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les </w:t>
      </w:r>
      <w:r w:rsidR="00BC3313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différents domaines </w:t>
      </w:r>
      <w:r w:rsidR="006E62C4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du </w:t>
      </w:r>
      <w:r w:rsidR="00BC3313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>savoir et de</w:t>
      </w:r>
      <w:r w:rsidR="006E62C4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s disciplines </w:t>
      </w:r>
      <w:r w:rsidR="00024D7E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>scientifiques</w:t>
      </w:r>
      <w:r w:rsidR="00BC3313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. </w:t>
      </w:r>
    </w:p>
    <w:p w:rsidR="002F22C9" w:rsidRPr="00FD3154" w:rsidRDefault="00BC3313" w:rsidP="000575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Malgré le chemin déjà </w:t>
      </w:r>
      <w:r w:rsidR="00435120" w:rsidRPr="00FD3154">
        <w:rPr>
          <w:rFonts w:ascii="Times New Roman" w:hAnsi="Times New Roman" w:cs="Times New Roman"/>
          <w:sz w:val="24"/>
          <w:szCs w:val="24"/>
          <w:lang w:val="fr-FR"/>
        </w:rPr>
        <w:t>parcouru</w:t>
      </w:r>
      <w:r w:rsidR="00304B56" w:rsidRPr="00FD3154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CB1E3C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24D7E" w:rsidRPr="00FD3154">
        <w:rPr>
          <w:rFonts w:ascii="Times New Roman" w:hAnsi="Times New Roman" w:cs="Times New Roman"/>
          <w:sz w:val="24"/>
          <w:szCs w:val="24"/>
          <w:lang w:val="fr-FR"/>
        </w:rPr>
        <w:t>résultant</w:t>
      </w:r>
      <w:r w:rsidR="00F4542F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du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progrès social </w:t>
      </w:r>
      <w:r w:rsidR="00CC596D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sur l’orientation des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politiques </w:t>
      </w:r>
      <w:r w:rsidR="00024D7E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internationales </w:t>
      </w:r>
      <w:r w:rsidR="00E735AF" w:rsidRPr="00FD3154">
        <w:rPr>
          <w:rFonts w:ascii="Times New Roman" w:hAnsi="Times New Roman" w:cs="Times New Roman"/>
          <w:sz w:val="24"/>
          <w:szCs w:val="24"/>
          <w:lang w:val="fr-FR"/>
        </w:rPr>
        <w:t>ratifiées</w:t>
      </w:r>
      <w:r w:rsidR="00024D7E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et intégrées</w:t>
      </w:r>
      <w:r w:rsidR="00483958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24D7E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dans les politiques publiques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>nationales</w:t>
      </w:r>
      <w:r w:rsidR="00A73EEF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des différents pays, la déclaration faite par Teresa Pinto (2000, 34) </w:t>
      </w:r>
      <w:r w:rsidR="00CC596D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reste </w:t>
      </w:r>
      <w:r w:rsidR="00304B56" w:rsidRPr="00FD3154">
        <w:rPr>
          <w:rFonts w:ascii="Times New Roman" w:hAnsi="Times New Roman" w:cs="Times New Roman"/>
          <w:sz w:val="24"/>
          <w:szCs w:val="24"/>
          <w:lang w:val="fr-FR"/>
        </w:rPr>
        <w:t>actuelle</w:t>
      </w:r>
      <w:r w:rsidR="00A73EEF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67154" w:rsidRPr="00FD3154">
        <w:rPr>
          <w:rFonts w:ascii="Times New Roman" w:hAnsi="Times New Roman" w:cs="Times New Roman"/>
          <w:sz w:val="24"/>
          <w:szCs w:val="24"/>
          <w:lang w:val="fr-FR"/>
        </w:rPr>
        <w:t>quand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elle affirme que "le changement n'est pas quelque chose qui </w:t>
      </w:r>
      <w:r w:rsidR="00CC596D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se produit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naturellement et automatiquement </w:t>
      </w:r>
      <w:r w:rsidR="00CC596D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au fur et à mesure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>que les nou</w:t>
      </w:r>
      <w:r w:rsidR="00304B56" w:rsidRPr="00FD3154">
        <w:rPr>
          <w:rFonts w:ascii="Times New Roman" w:hAnsi="Times New Roman" w:cs="Times New Roman"/>
          <w:sz w:val="24"/>
          <w:szCs w:val="24"/>
          <w:lang w:val="fr-FR"/>
        </w:rPr>
        <w:t>velles générations grandissent et remplacent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les précédentes. Les conceptions stéréotypées</w:t>
      </w:r>
      <w:r w:rsidR="00184C2B" w:rsidRPr="00FD3154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qui associent les emplois pour les homme</w:t>
      </w:r>
      <w:r w:rsidR="00304B56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s à leur fonction de </w:t>
      </w:r>
      <w:r w:rsidR="00244776" w:rsidRPr="00FD3154">
        <w:rPr>
          <w:rFonts w:ascii="Times New Roman" w:hAnsi="Times New Roman" w:cs="Times New Roman"/>
          <w:sz w:val="24"/>
          <w:szCs w:val="24"/>
          <w:lang w:val="fr-FR"/>
        </w:rPr>
        <w:t>‘</w:t>
      </w:r>
      <w:r w:rsidR="00304B56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soutien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>de famille</w:t>
      </w:r>
      <w:r w:rsidR="00244776" w:rsidRPr="00FD3154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="00F571D9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les professions </w:t>
      </w:r>
      <w:r w:rsidR="00457AEC" w:rsidRPr="00FD3154">
        <w:rPr>
          <w:rFonts w:ascii="Times New Roman" w:hAnsi="Times New Roman" w:cs="Times New Roman"/>
          <w:sz w:val="24"/>
          <w:szCs w:val="24"/>
          <w:lang w:val="fr-FR"/>
        </w:rPr>
        <w:t>‘</w:t>
      </w:r>
      <w:r w:rsidR="00F571D9" w:rsidRPr="00FD3154">
        <w:rPr>
          <w:rFonts w:ascii="Times New Roman" w:hAnsi="Times New Roman" w:cs="Times New Roman"/>
          <w:sz w:val="24"/>
          <w:szCs w:val="24"/>
          <w:lang w:val="fr-FR"/>
        </w:rPr>
        <w:t>appropriées</w:t>
      </w:r>
      <w:r w:rsidR="00457AEC" w:rsidRPr="00FD3154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A73EEF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571D9" w:rsidRPr="00FD3154">
        <w:rPr>
          <w:rFonts w:ascii="Times New Roman" w:hAnsi="Times New Roman" w:cs="Times New Roman"/>
          <w:sz w:val="24"/>
          <w:szCs w:val="24"/>
          <w:lang w:val="fr-FR"/>
        </w:rPr>
        <w:t>aux</w:t>
      </w:r>
      <w:r w:rsidR="00A73EEF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femmes à leur </w:t>
      </w:r>
      <w:r w:rsidR="00E735AF" w:rsidRPr="00FD3154">
        <w:rPr>
          <w:rFonts w:ascii="Times New Roman" w:hAnsi="Times New Roman" w:cs="Times New Roman"/>
          <w:sz w:val="24"/>
          <w:szCs w:val="24"/>
          <w:lang w:val="fr-FR"/>
        </w:rPr>
        <w:t>‘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>fonction</w:t>
      </w:r>
      <w:r w:rsidR="00E735AF" w:rsidRPr="00FD3154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maternelle, persistent dans la</w:t>
      </w:r>
      <w:r w:rsidR="00F571D9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société portugaise et traversent</w:t>
      </w:r>
      <w:r w:rsidR="00A73EEF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>toutes les générations".</w:t>
      </w:r>
    </w:p>
    <w:p w:rsidR="00351D5A" w:rsidRPr="00FD3154" w:rsidRDefault="00C277F6" w:rsidP="00E735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Un acte éducatif </w:t>
      </w:r>
      <w:r w:rsidR="00F34262" w:rsidRPr="00FD3154">
        <w:rPr>
          <w:rFonts w:ascii="Times New Roman" w:hAnsi="Times New Roman" w:cs="Times New Roman"/>
          <w:i/>
          <w:sz w:val="24"/>
          <w:szCs w:val="24"/>
          <w:lang w:val="fr-FR"/>
        </w:rPr>
        <w:t>sensible</w:t>
      </w:r>
      <w:r w:rsidRPr="00FD3154">
        <w:rPr>
          <w:rFonts w:ascii="Times New Roman" w:hAnsi="Times New Roman" w:cs="Times New Roman"/>
          <w:i/>
          <w:sz w:val="24"/>
          <w:szCs w:val="24"/>
          <w:lang w:val="fr-FR"/>
        </w:rPr>
        <w:t xml:space="preserve"> au genre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devrait,</w:t>
      </w:r>
      <w:r w:rsidR="00A73EEF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selon la pensée </w:t>
      </w:r>
      <w:proofErr w:type="gramStart"/>
      <w:r w:rsidRPr="00FD3154">
        <w:rPr>
          <w:rFonts w:ascii="Times New Roman" w:hAnsi="Times New Roman" w:cs="Times New Roman"/>
          <w:sz w:val="24"/>
          <w:szCs w:val="24"/>
          <w:lang w:val="fr-FR"/>
        </w:rPr>
        <w:t>de Edmée</w:t>
      </w:r>
      <w:proofErr w:type="gramEnd"/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D3154">
        <w:rPr>
          <w:rFonts w:ascii="Times New Roman" w:hAnsi="Times New Roman" w:cs="Times New Roman"/>
          <w:sz w:val="24"/>
          <w:szCs w:val="24"/>
          <w:lang w:val="fr-FR"/>
        </w:rPr>
        <w:t>Ollagnier</w:t>
      </w:r>
      <w:proofErr w:type="spellEnd"/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(2014)</w:t>
      </w:r>
      <w:r w:rsidR="00E735AF" w:rsidRPr="00FD3154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F34262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44776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permettre </w:t>
      </w:r>
      <w:r w:rsidR="00184C2B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aux </w:t>
      </w:r>
      <w:r w:rsidR="00F34262" w:rsidRPr="00FD3154">
        <w:rPr>
          <w:rFonts w:ascii="Times New Roman" w:hAnsi="Times New Roman" w:cs="Times New Roman"/>
          <w:sz w:val="24"/>
          <w:szCs w:val="24"/>
          <w:lang w:val="fr-FR"/>
        </w:rPr>
        <w:t>apprenant</w:t>
      </w:r>
      <w:r w:rsidR="00184C2B" w:rsidRPr="00FD3154">
        <w:rPr>
          <w:rFonts w:ascii="Times New Roman" w:hAnsi="Times New Roman" w:cs="Times New Roman"/>
          <w:sz w:val="24"/>
          <w:szCs w:val="24"/>
          <w:lang w:val="fr-FR"/>
        </w:rPr>
        <w:t>-e-</w:t>
      </w:r>
      <w:r w:rsidR="00F34262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s </w:t>
      </w:r>
      <w:r w:rsidR="00E544E1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une </w:t>
      </w:r>
      <w:r w:rsidR="00F34262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égalité </w:t>
      </w:r>
      <w:r w:rsidR="00244776" w:rsidRPr="00FD3154">
        <w:rPr>
          <w:rFonts w:ascii="Times New Roman" w:hAnsi="Times New Roman" w:cs="Times New Roman"/>
          <w:sz w:val="24"/>
          <w:szCs w:val="24"/>
          <w:lang w:val="fr-FR"/>
        </w:rPr>
        <w:t>"</w:t>
      </w:r>
      <w:r w:rsidR="00F34262" w:rsidRPr="00FD3154">
        <w:rPr>
          <w:rFonts w:ascii="Times New Roman" w:hAnsi="Times New Roman" w:cs="Times New Roman"/>
          <w:sz w:val="24"/>
          <w:szCs w:val="24"/>
          <w:lang w:val="fr-FR"/>
        </w:rPr>
        <w:t>d´</w:t>
      </w:r>
      <w:r w:rsidR="00BC3313" w:rsidRPr="00FD3154">
        <w:rPr>
          <w:rFonts w:ascii="Times New Roman" w:hAnsi="Times New Roman" w:cs="Times New Roman"/>
          <w:sz w:val="24"/>
          <w:szCs w:val="24"/>
          <w:lang w:val="fr-FR"/>
        </w:rPr>
        <w:t>accès aux opportunités d</w:t>
      </w:r>
      <w:r w:rsidR="007F2141" w:rsidRPr="00FD3154">
        <w:rPr>
          <w:rFonts w:ascii="Times New Roman" w:hAnsi="Times New Roman" w:cs="Times New Roman"/>
          <w:sz w:val="24"/>
          <w:szCs w:val="24"/>
          <w:lang w:val="fr-FR"/>
        </w:rPr>
        <w:t>e la vie" (p. 223)</w:t>
      </w:r>
      <w:r w:rsidR="00261D0E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244776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On sait </w:t>
      </w:r>
      <w:r w:rsidR="00BC3313" w:rsidRPr="00FD3154">
        <w:rPr>
          <w:rFonts w:ascii="Times New Roman" w:hAnsi="Times New Roman" w:cs="Times New Roman"/>
          <w:sz w:val="24"/>
          <w:szCs w:val="24"/>
          <w:lang w:val="fr-FR"/>
        </w:rPr>
        <w:t>que ces trajectoires personnelles sont construit</w:t>
      </w:r>
      <w:r w:rsidR="00261D0E" w:rsidRPr="00FD3154">
        <w:rPr>
          <w:rFonts w:ascii="Times New Roman" w:hAnsi="Times New Roman" w:cs="Times New Roman"/>
          <w:sz w:val="24"/>
          <w:szCs w:val="24"/>
          <w:lang w:val="fr-FR"/>
        </w:rPr>
        <w:t>es dès un très jeune âge</w:t>
      </w:r>
      <w:r w:rsidR="00244776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, et </w:t>
      </w:r>
      <w:r w:rsidR="00261D0E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tout au long de </w:t>
      </w:r>
      <w:r w:rsidR="00244776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261D0E" w:rsidRPr="00FD3154">
        <w:rPr>
          <w:rFonts w:ascii="Times New Roman" w:hAnsi="Times New Roman" w:cs="Times New Roman"/>
          <w:sz w:val="24"/>
          <w:szCs w:val="24"/>
          <w:lang w:val="fr-FR"/>
        </w:rPr>
        <w:t>vie</w:t>
      </w:r>
      <w:r w:rsidR="00244776" w:rsidRPr="00FD3154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261D0E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C3313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par </w:t>
      </w:r>
      <w:r w:rsidR="00244776" w:rsidRPr="00FD3154">
        <w:rPr>
          <w:rFonts w:ascii="Times New Roman" w:hAnsi="Times New Roman" w:cs="Times New Roman"/>
          <w:sz w:val="24"/>
          <w:szCs w:val="24"/>
          <w:lang w:val="fr-FR"/>
        </w:rPr>
        <w:t>les apprentissage</w:t>
      </w:r>
      <w:r w:rsidR="00E544E1" w:rsidRPr="00FD3154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244776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formels</w:t>
      </w:r>
      <w:r w:rsidR="00BC3313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, comme </w:t>
      </w:r>
      <w:r w:rsidR="00E544E1" w:rsidRPr="00FD3154">
        <w:rPr>
          <w:rFonts w:ascii="Times New Roman" w:hAnsi="Times New Roman" w:cs="Times New Roman"/>
          <w:sz w:val="24"/>
          <w:szCs w:val="24"/>
          <w:lang w:val="fr-FR"/>
        </w:rPr>
        <w:t>les scolaires</w:t>
      </w:r>
      <w:r w:rsidR="00BC3313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E544E1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et </w:t>
      </w:r>
      <w:r w:rsidR="00261D0E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non formels, </w:t>
      </w:r>
      <w:r w:rsidR="00E544E1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qui ont lieu </w:t>
      </w:r>
      <w:r w:rsidR="00261D0E" w:rsidRPr="00FD3154">
        <w:rPr>
          <w:rFonts w:ascii="Times New Roman" w:hAnsi="Times New Roman" w:cs="Times New Roman"/>
          <w:sz w:val="24"/>
          <w:szCs w:val="24"/>
          <w:lang w:val="fr-FR"/>
        </w:rPr>
        <w:t>dès</w:t>
      </w:r>
      <w:r w:rsidR="00BC3313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l'enfance </w:t>
      </w:r>
      <w:r w:rsidR="00261D0E" w:rsidRPr="00FD3154">
        <w:rPr>
          <w:rFonts w:ascii="Times New Roman" w:hAnsi="Times New Roman" w:cs="Times New Roman"/>
          <w:sz w:val="24"/>
          <w:szCs w:val="24"/>
          <w:lang w:val="fr-FR"/>
        </w:rPr>
        <w:t>jusqu´à</w:t>
      </w:r>
      <w:r w:rsidR="00BC3313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l'âge adulte.</w:t>
      </w:r>
      <w:r w:rsidR="005201D8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Ces situations d'apprentissage ne </w:t>
      </w:r>
      <w:r w:rsidR="00261D0E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mobilisent </w:t>
      </w:r>
      <w:r w:rsidR="005201D8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pas toujours</w:t>
      </w:r>
      <w:r w:rsidR="00261D0E" w:rsidRPr="00FD3154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297749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51D5A" w:rsidRPr="00FD3154">
        <w:rPr>
          <w:rFonts w:ascii="Times New Roman" w:hAnsi="Times New Roman" w:cs="Times New Roman"/>
          <w:sz w:val="24"/>
          <w:szCs w:val="24"/>
          <w:lang w:val="fr-FR"/>
        </w:rPr>
        <w:t>de la part de</w:t>
      </w:r>
      <w:r w:rsidR="005201D8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544E1" w:rsidRPr="00FD3154">
        <w:rPr>
          <w:rFonts w:ascii="Times New Roman" w:hAnsi="Times New Roman" w:cs="Times New Roman"/>
          <w:sz w:val="24"/>
          <w:szCs w:val="24"/>
          <w:lang w:val="fr-FR"/>
        </w:rPr>
        <w:t>qui apprend,</w:t>
      </w:r>
      <w:r w:rsidR="005201D8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544E1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une </w:t>
      </w:r>
      <w:r w:rsidR="005201D8" w:rsidRPr="00FD3154">
        <w:rPr>
          <w:rFonts w:ascii="Times New Roman" w:hAnsi="Times New Roman" w:cs="Times New Roman"/>
          <w:sz w:val="24"/>
          <w:szCs w:val="24"/>
          <w:lang w:val="fr-FR"/>
        </w:rPr>
        <w:t>intentionnalité, ni une conscience critique capable d'évaluer le</w:t>
      </w:r>
      <w:r w:rsidR="00E544E1" w:rsidRPr="00FD3154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5201D8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contenu</w:t>
      </w:r>
      <w:r w:rsidR="00E544E1" w:rsidRPr="00FD3154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5201D8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544E1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appris </w:t>
      </w:r>
      <w:r w:rsidR="005201D8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et son </w:t>
      </w:r>
      <w:r w:rsidR="00A73EEF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impact </w:t>
      </w:r>
      <w:r w:rsidR="005201D8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sur la prise de décisions personnelles </w:t>
      </w:r>
      <w:r w:rsidR="00E544E1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sur </w:t>
      </w:r>
      <w:r w:rsidR="001B138E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des </w:t>
      </w:r>
      <w:r w:rsidR="00E544E1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divers matières </w:t>
      </w:r>
      <w:r w:rsidR="005201D8" w:rsidRPr="00FD3154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r w:rsidR="005201D8" w:rsidRPr="00FD3154">
        <w:rPr>
          <w:rFonts w:ascii="Times New Roman" w:hAnsi="Times New Roman" w:cs="Times New Roman"/>
          <w:sz w:val="24"/>
          <w:szCs w:val="24"/>
          <w:lang w:val="fr-FR"/>
        </w:rPr>
        <w:t>Ostrouch-Kaminska</w:t>
      </w:r>
      <w:proofErr w:type="spellEnd"/>
      <w:r w:rsidR="005201D8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et Vieira 2015).</w:t>
      </w:r>
    </w:p>
    <w:p w:rsidR="005201D8" w:rsidRPr="00FD3154" w:rsidRDefault="005201D8" w:rsidP="000575B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lastRenderedPageBreak/>
        <w:t xml:space="preserve">L'intégration de l'égalité entre les hommes et les femmes comme l'un des axes structurants </w:t>
      </w:r>
      <w:r w:rsidR="00351D5A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du système </w:t>
      </w:r>
      <w:r w:rsidR="00661D08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>éducatif</w:t>
      </w:r>
      <w:r w:rsidR="00351D5A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 </w:t>
      </w:r>
      <w:r w:rsidR="00297749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>–</w:t>
      </w:r>
      <w:r w:rsidR="00351D5A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 dès</w:t>
      </w:r>
      <w:r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 la </w:t>
      </w:r>
      <w:r w:rsidR="00351D5A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>très jeune</w:t>
      </w:r>
      <w:r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 enfance à l'enseign</w:t>
      </w:r>
      <w:r w:rsidR="00351D5A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ement </w:t>
      </w:r>
      <w:proofErr w:type="spellStart"/>
      <w:r w:rsidR="00351D5A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>post-universitaire</w:t>
      </w:r>
      <w:proofErr w:type="spellEnd"/>
      <w:r w:rsidR="00351D5A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 – </w:t>
      </w:r>
      <w:r w:rsidR="001B138E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reste </w:t>
      </w:r>
      <w:r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un impératif des pays européens, malgré les différences dans les politiques nationales et </w:t>
      </w:r>
      <w:r w:rsidR="00E72048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le </w:t>
      </w:r>
      <w:r w:rsidR="001B138E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succès </w:t>
      </w:r>
      <w:r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>de</w:t>
      </w:r>
      <w:r w:rsidR="00E72048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s </w:t>
      </w:r>
      <w:r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>initiativ</w:t>
      </w:r>
      <w:r w:rsidR="00297749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>e</w:t>
      </w:r>
      <w:r w:rsidR="00E72048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>s</w:t>
      </w:r>
      <w:r w:rsidR="00297749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 politique</w:t>
      </w:r>
      <w:r w:rsidR="00E72048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>s</w:t>
      </w:r>
      <w:r w:rsidR="00297749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 de l'intégration du </w:t>
      </w:r>
      <w:proofErr w:type="spellStart"/>
      <w:r w:rsidR="00297749" w:rsidRPr="00FD3154">
        <w:rPr>
          <w:rFonts w:ascii="Times New Roman" w:eastAsia="Times New Roman" w:hAnsi="Times New Roman" w:cs="Times New Roman"/>
          <w:i/>
          <w:sz w:val="24"/>
          <w:szCs w:val="24"/>
          <w:lang w:val="fr-FR" w:eastAsia="pt-PT"/>
        </w:rPr>
        <w:t>mainstreaming</w:t>
      </w:r>
      <w:proofErr w:type="spellEnd"/>
      <w:r w:rsidR="00297749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 de </w:t>
      </w:r>
      <w:r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genre dans l'éducation.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Ces initiatives doivent naturellement embrasser la formation initiale et continue des professionnels de l'enseignement </w:t>
      </w:r>
      <w:r w:rsidR="00E72048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et exige des </w:t>
      </w:r>
      <w:r w:rsidR="00351D5A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changements </w:t>
      </w:r>
      <w:r w:rsidR="00E72048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profonds, soit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dans la </w:t>
      </w:r>
      <w:r w:rsidR="00E72048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façon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dont les institutions d'enseignement </w:t>
      </w:r>
      <w:r w:rsidR="00723D1D" w:rsidRPr="00FD3154">
        <w:rPr>
          <w:rFonts w:ascii="Times New Roman" w:hAnsi="Times New Roman" w:cs="Times New Roman"/>
          <w:sz w:val="24"/>
          <w:szCs w:val="24"/>
          <w:lang w:val="fr-FR"/>
        </w:rPr>
        <w:t>accomplissent</w:t>
      </w:r>
      <w:r w:rsidR="00297749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>leur mission</w:t>
      </w:r>
      <w:r w:rsidR="00E72048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, soit </w:t>
      </w:r>
      <w:r w:rsidR="00723D1D" w:rsidRPr="00FD3154">
        <w:rPr>
          <w:rFonts w:ascii="Times New Roman" w:hAnsi="Times New Roman" w:cs="Times New Roman"/>
          <w:sz w:val="24"/>
          <w:szCs w:val="24"/>
          <w:lang w:val="fr-FR"/>
        </w:rPr>
        <w:t>dans la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culture organisationnelle</w:t>
      </w:r>
      <w:r w:rsidR="00723D1D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qui les caractérise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723D1D" w:rsidRPr="00FD3154">
        <w:rPr>
          <w:rFonts w:ascii="Times New Roman" w:hAnsi="Times New Roman" w:cs="Times New Roman"/>
          <w:sz w:val="24"/>
          <w:szCs w:val="24"/>
          <w:lang w:val="fr-FR"/>
        </w:rPr>
        <w:t>exigeant</w:t>
      </w:r>
      <w:r w:rsidR="00E72048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23D1D" w:rsidRPr="00FD3154">
        <w:rPr>
          <w:rFonts w:ascii="Times New Roman" w:hAnsi="Times New Roman" w:cs="Times New Roman"/>
          <w:sz w:val="24"/>
          <w:szCs w:val="24"/>
          <w:lang w:val="fr-FR"/>
        </w:rPr>
        <w:t>la rénovation de leurs relations de partenariat avec d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es </w:t>
      </w:r>
      <w:r w:rsidR="00A73EEF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intervenants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différents. Dans le cadre </w:t>
      </w:r>
      <w:r w:rsidR="00E72048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l'éducation </w:t>
      </w:r>
      <w:r w:rsidR="00E72048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pour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>la citoyenneté des nouvelles générations, qui est l'une des priorités actuelles des systèmes éducatifs et de</w:t>
      </w:r>
      <w:r w:rsidR="004D62C0" w:rsidRPr="00FD3154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poli</w:t>
      </w:r>
      <w:r w:rsidR="00723D1D" w:rsidRPr="00FD3154">
        <w:rPr>
          <w:rFonts w:ascii="Times New Roman" w:hAnsi="Times New Roman" w:cs="Times New Roman"/>
          <w:sz w:val="24"/>
          <w:szCs w:val="24"/>
          <w:lang w:val="fr-FR"/>
        </w:rPr>
        <w:t>tique</w:t>
      </w:r>
      <w:r w:rsidR="004D62C0" w:rsidRPr="00FD3154">
        <w:rPr>
          <w:rFonts w:ascii="Times New Roman" w:hAnsi="Times New Roman" w:cs="Times New Roman"/>
          <w:sz w:val="24"/>
          <w:szCs w:val="24"/>
          <w:lang w:val="fr-FR"/>
        </w:rPr>
        <w:t>s éducatives</w:t>
      </w:r>
      <w:r w:rsidR="00723D1D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, Madeleine </w:t>
      </w:r>
      <w:proofErr w:type="spellStart"/>
      <w:r w:rsidR="00723D1D" w:rsidRPr="00FD3154">
        <w:rPr>
          <w:rFonts w:ascii="Times New Roman" w:hAnsi="Times New Roman" w:cs="Times New Roman"/>
          <w:sz w:val="24"/>
          <w:szCs w:val="24"/>
          <w:lang w:val="fr-FR"/>
        </w:rPr>
        <w:t>Arnout</w:t>
      </w:r>
      <w:proofErr w:type="spellEnd"/>
      <w:r w:rsidR="00723D1D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(2009) </w:t>
      </w:r>
      <w:r w:rsidR="008F4E94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questionne la manière </w:t>
      </w:r>
      <w:r w:rsidR="004D62C0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dont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>l'intégration des questions relatives à l'égalité répond</w:t>
      </w:r>
      <w:r w:rsidR="004D62C0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>au</w:t>
      </w:r>
      <w:r w:rsidR="008F4E94" w:rsidRPr="00FD3154">
        <w:rPr>
          <w:rFonts w:ascii="Times New Roman" w:hAnsi="Times New Roman" w:cs="Times New Roman"/>
          <w:sz w:val="24"/>
          <w:szCs w:val="24"/>
          <w:lang w:val="fr-FR"/>
        </w:rPr>
        <w:t>x défis que</w:t>
      </w:r>
      <w:r w:rsidR="004D62C0" w:rsidRPr="00FD3154">
        <w:rPr>
          <w:rFonts w:ascii="Times New Roman" w:hAnsi="Times New Roman" w:cs="Times New Roman"/>
          <w:sz w:val="24"/>
          <w:szCs w:val="24"/>
          <w:lang w:val="fr-FR"/>
        </w:rPr>
        <w:t>, au XXI</w:t>
      </w:r>
      <w:r w:rsidR="00723D1D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e siècle, la mondialisation et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une nouvelle perspective globale des </w:t>
      </w:r>
      <w:r w:rsidR="00C37B20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droits humains </w:t>
      </w:r>
      <w:r w:rsidR="00723D1D" w:rsidRPr="00FD3154">
        <w:rPr>
          <w:rFonts w:ascii="Times New Roman" w:hAnsi="Times New Roman" w:cs="Times New Roman"/>
          <w:sz w:val="24"/>
          <w:szCs w:val="24"/>
          <w:lang w:val="fr-FR"/>
        </w:rPr>
        <w:t>pos</w:t>
      </w:r>
      <w:r w:rsidR="004D62C0" w:rsidRPr="00FD3154">
        <w:rPr>
          <w:rFonts w:ascii="Times New Roman" w:hAnsi="Times New Roman" w:cs="Times New Roman"/>
          <w:sz w:val="24"/>
          <w:szCs w:val="24"/>
          <w:lang w:val="fr-FR"/>
        </w:rPr>
        <w:t>ent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37B20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>la démocratie.</w:t>
      </w:r>
    </w:p>
    <w:p w:rsidR="005C3F05" w:rsidRPr="00FD3154" w:rsidRDefault="005C3F05" w:rsidP="000575B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201D8" w:rsidRPr="00FD3154" w:rsidRDefault="005201D8" w:rsidP="000575B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Ce dossier thématique choisi par </w:t>
      </w:r>
      <w:r w:rsidR="00661D08" w:rsidRPr="00AE2ADE">
        <w:rPr>
          <w:rFonts w:ascii="Times New Roman" w:hAnsi="Times New Roman" w:cs="Times New Roman"/>
          <w:i/>
          <w:sz w:val="24"/>
          <w:szCs w:val="24"/>
          <w:lang w:val="fr-FR"/>
        </w:rPr>
        <w:t>ex æquo</w:t>
      </w:r>
      <w:r w:rsidR="00661D08" w:rsidRPr="00FD315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n° 36 souhaite discuter des </w:t>
      </w:r>
      <w:r w:rsidR="00661D08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plusieurs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approches sur les relations </w:t>
      </w:r>
      <w:r w:rsidR="004D62C0" w:rsidRPr="00FD3154">
        <w:rPr>
          <w:rFonts w:ascii="Times New Roman" w:hAnsi="Times New Roman" w:cs="Times New Roman"/>
          <w:sz w:val="24"/>
          <w:szCs w:val="24"/>
          <w:lang w:val="fr-FR"/>
        </w:rPr>
        <w:t>entre les questions de genre,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les différentes modalités de l'éducation et les </w:t>
      </w:r>
      <w:r w:rsidR="00661D08" w:rsidRPr="00FD3154">
        <w:rPr>
          <w:rFonts w:ascii="Times New Roman" w:hAnsi="Times New Roman" w:cs="Times New Roman"/>
          <w:sz w:val="24"/>
          <w:szCs w:val="24"/>
          <w:lang w:val="fr-FR"/>
        </w:rPr>
        <w:t>distinctes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man</w:t>
      </w:r>
      <w:r w:rsidR="007F2141" w:rsidRPr="00FD3154">
        <w:rPr>
          <w:rFonts w:ascii="Times New Roman" w:hAnsi="Times New Roman" w:cs="Times New Roman"/>
          <w:sz w:val="24"/>
          <w:szCs w:val="24"/>
          <w:lang w:val="fr-FR"/>
        </w:rPr>
        <w:t>ières de vivre et d'exercer le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s droits et </w:t>
      </w:r>
      <w:r w:rsidR="004D62C0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>devoirs sous-</w:t>
      </w:r>
      <w:r w:rsidR="004D62C0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jacents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une conception pluraliste de la citoyenneté. Il est important d'apporter au débat des perspectives sur les pratiques, </w:t>
      </w:r>
      <w:r w:rsidR="004D62C0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les espaces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et </w:t>
      </w:r>
      <w:r w:rsidR="004D62C0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5C3F05" w:rsidRPr="00FD3154">
        <w:rPr>
          <w:rFonts w:ascii="Times New Roman" w:hAnsi="Times New Roman" w:cs="Times New Roman"/>
          <w:sz w:val="24"/>
          <w:szCs w:val="24"/>
          <w:lang w:val="fr-FR"/>
        </w:rPr>
        <w:t>gents d'éducation qui favorisent et mettent en valeur</w:t>
      </w:r>
      <w:r w:rsidR="0078650F" w:rsidRPr="00FD3154">
        <w:rPr>
          <w:rFonts w:ascii="Times New Roman" w:hAnsi="Times New Roman" w:cs="Times New Roman"/>
          <w:sz w:val="24"/>
          <w:szCs w:val="24"/>
          <w:lang w:val="fr-FR"/>
        </w:rPr>
        <w:t>, de la même façon,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pour </w:t>
      </w:r>
      <w:r w:rsidR="004D62C0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hommes et </w:t>
      </w:r>
      <w:r w:rsidR="004D62C0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femmes, </w:t>
      </w:r>
      <w:r w:rsidR="0078650F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les dimensions publiques et privées de la vie humaine et l'utilisation partagée et équilibrée du temps, de l'espace </w:t>
      </w:r>
      <w:r w:rsidR="007814AD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et </w:t>
      </w:r>
      <w:r w:rsidR="003A4DCD" w:rsidRPr="00FD3154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78650F" w:rsidRPr="00FD3154">
        <w:rPr>
          <w:rFonts w:ascii="Times New Roman" w:hAnsi="Times New Roman" w:cs="Times New Roman"/>
          <w:sz w:val="24"/>
          <w:szCs w:val="24"/>
          <w:lang w:val="fr-FR"/>
        </w:rPr>
        <w:t>es ressources disponib</w:t>
      </w:r>
      <w:r w:rsidR="007814AD" w:rsidRPr="00FD3154">
        <w:rPr>
          <w:rFonts w:ascii="Times New Roman" w:hAnsi="Times New Roman" w:cs="Times New Roman"/>
          <w:sz w:val="24"/>
          <w:szCs w:val="24"/>
          <w:lang w:val="fr-FR"/>
        </w:rPr>
        <w:t>les</w:t>
      </w:r>
      <w:r w:rsidR="0078650F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7814AD" w:rsidRPr="00FD3154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="005224B1" w:rsidRPr="00FD3154">
        <w:rPr>
          <w:rFonts w:ascii="Times New Roman" w:hAnsi="Times New Roman" w:cs="Times New Roman"/>
          <w:sz w:val="24"/>
          <w:szCs w:val="24"/>
          <w:lang w:val="fr-FR"/>
        </w:rPr>
        <w:t>vant les défis posés par les</w:t>
      </w:r>
      <w:r w:rsidR="00457AEC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problèmes émergents, complexifi</w:t>
      </w:r>
      <w:r w:rsidR="007814AD" w:rsidRPr="00FD3154">
        <w:rPr>
          <w:rFonts w:ascii="Times New Roman" w:hAnsi="Times New Roman" w:cs="Times New Roman"/>
          <w:sz w:val="24"/>
          <w:szCs w:val="24"/>
          <w:lang w:val="fr-FR"/>
        </w:rPr>
        <w:t>és</w:t>
      </w:r>
      <w:r w:rsidR="005224B1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par l</w:t>
      </w:r>
      <w:bookmarkStart w:id="0" w:name="_GoBack"/>
      <w:bookmarkEnd w:id="0"/>
      <w:r w:rsidR="005224B1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'intersection des identités </w:t>
      </w:r>
      <w:r w:rsidR="007814AD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et </w:t>
      </w:r>
      <w:r w:rsidR="005224B1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A4DCD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des </w:t>
      </w:r>
      <w:r w:rsidR="007814AD" w:rsidRPr="00FD3154">
        <w:rPr>
          <w:rFonts w:ascii="Times New Roman" w:hAnsi="Times New Roman" w:cs="Times New Roman"/>
          <w:sz w:val="24"/>
          <w:szCs w:val="24"/>
          <w:lang w:val="fr-FR"/>
        </w:rPr>
        <w:t>appartenances</w:t>
      </w:r>
      <w:r w:rsidR="005224B1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des indi</w:t>
      </w:r>
      <w:r w:rsidR="00457AEC" w:rsidRPr="00FD3154">
        <w:rPr>
          <w:rFonts w:ascii="Times New Roman" w:hAnsi="Times New Roman" w:cs="Times New Roman"/>
          <w:sz w:val="24"/>
          <w:szCs w:val="24"/>
          <w:lang w:val="fr-FR"/>
        </w:rPr>
        <w:t>vidus et des groupes</w:t>
      </w:r>
      <w:r w:rsidR="005224B1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661D08" w:rsidRPr="00FD3154">
        <w:rPr>
          <w:rFonts w:ascii="Times New Roman" w:hAnsi="Times New Roman" w:cs="Times New Roman"/>
          <w:sz w:val="24"/>
          <w:szCs w:val="24"/>
          <w:lang w:val="fr-FR"/>
        </w:rPr>
        <w:t>il est urgent que les systèmes éducatifs</w:t>
      </w:r>
      <w:r w:rsidR="005224B1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, les programmes </w:t>
      </w:r>
      <w:r w:rsidR="003A4DCD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="005224B1" w:rsidRPr="00FD3154">
        <w:rPr>
          <w:rFonts w:ascii="Times New Roman" w:hAnsi="Times New Roman" w:cs="Times New Roman"/>
          <w:sz w:val="24"/>
          <w:szCs w:val="24"/>
          <w:lang w:val="fr-FR"/>
        </w:rPr>
        <w:t>la formation initiale e</w:t>
      </w:r>
      <w:r w:rsidR="007814AD" w:rsidRPr="00FD3154">
        <w:rPr>
          <w:rFonts w:ascii="Times New Roman" w:hAnsi="Times New Roman" w:cs="Times New Roman"/>
          <w:sz w:val="24"/>
          <w:szCs w:val="24"/>
          <w:lang w:val="fr-FR"/>
        </w:rPr>
        <w:t>t continue des enseignant</w:t>
      </w:r>
      <w:r w:rsidR="003A4DCD" w:rsidRPr="00FD3154">
        <w:rPr>
          <w:rFonts w:ascii="Times New Roman" w:hAnsi="Times New Roman" w:cs="Times New Roman"/>
          <w:sz w:val="24"/>
          <w:szCs w:val="24"/>
          <w:lang w:val="fr-FR"/>
        </w:rPr>
        <w:t>-e-</w:t>
      </w:r>
      <w:r w:rsidR="007814AD" w:rsidRPr="00FD3154">
        <w:rPr>
          <w:rFonts w:ascii="Times New Roman" w:hAnsi="Times New Roman" w:cs="Times New Roman"/>
          <w:sz w:val="24"/>
          <w:szCs w:val="24"/>
          <w:lang w:val="fr-FR"/>
        </w:rPr>
        <w:t>s et les</w:t>
      </w:r>
      <w:r w:rsidR="005224B1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politique</w:t>
      </w:r>
      <w:r w:rsidR="007814AD" w:rsidRPr="00FD3154">
        <w:rPr>
          <w:rFonts w:ascii="Times New Roman" w:hAnsi="Times New Roman" w:cs="Times New Roman"/>
          <w:sz w:val="24"/>
          <w:szCs w:val="24"/>
          <w:lang w:val="fr-FR"/>
        </w:rPr>
        <w:t>s qui</w:t>
      </w:r>
      <w:r w:rsidR="00631D54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A4DCD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régulent </w:t>
      </w:r>
      <w:r w:rsidR="009E7064" w:rsidRPr="00FD3154">
        <w:rPr>
          <w:rFonts w:ascii="Times New Roman" w:hAnsi="Times New Roman" w:cs="Times New Roman"/>
          <w:sz w:val="24"/>
          <w:szCs w:val="24"/>
          <w:lang w:val="fr-FR"/>
        </w:rPr>
        <w:t>le secteur de l'éducation soien</w:t>
      </w:r>
      <w:r w:rsidR="005224B1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t </w:t>
      </w:r>
      <w:r w:rsidR="003A4DCD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capables de </w:t>
      </w:r>
      <w:r w:rsidR="005224B1" w:rsidRPr="00FD3154">
        <w:rPr>
          <w:rFonts w:ascii="Times New Roman" w:hAnsi="Times New Roman" w:cs="Times New Roman"/>
          <w:sz w:val="24"/>
          <w:szCs w:val="24"/>
          <w:lang w:val="fr-FR"/>
        </w:rPr>
        <w:t>répondre</w:t>
      </w:r>
      <w:r w:rsidR="003A4DCD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pleinement </w:t>
      </w:r>
      <w:r w:rsidR="005224B1" w:rsidRPr="00FD3154">
        <w:rPr>
          <w:rFonts w:ascii="Times New Roman" w:hAnsi="Times New Roman" w:cs="Times New Roman"/>
          <w:sz w:val="24"/>
          <w:szCs w:val="24"/>
          <w:lang w:val="fr-FR"/>
        </w:rPr>
        <w:t>aux besoins réel</w:t>
      </w:r>
      <w:r w:rsidR="00457AEC" w:rsidRPr="00FD3154">
        <w:rPr>
          <w:rFonts w:ascii="Times New Roman" w:hAnsi="Times New Roman" w:cs="Times New Roman"/>
          <w:sz w:val="24"/>
          <w:szCs w:val="24"/>
          <w:lang w:val="fr-FR"/>
        </w:rPr>
        <w:t>s des personnes (Commission E</w:t>
      </w:r>
      <w:r w:rsidR="005224B1" w:rsidRPr="00FD3154">
        <w:rPr>
          <w:rFonts w:ascii="Times New Roman" w:hAnsi="Times New Roman" w:cs="Times New Roman"/>
          <w:sz w:val="24"/>
          <w:szCs w:val="24"/>
          <w:lang w:val="fr-FR"/>
        </w:rPr>
        <w:t>uropéenne 2016).</w:t>
      </w:r>
    </w:p>
    <w:p w:rsidR="009E7064" w:rsidRPr="00FD3154" w:rsidRDefault="005224B1" w:rsidP="000575BB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D3154">
        <w:rPr>
          <w:rFonts w:ascii="Times New Roman" w:hAnsi="Times New Roman" w:cs="Times New Roman"/>
          <w:sz w:val="24"/>
          <w:szCs w:val="24"/>
          <w:lang w:val="fr-FR"/>
        </w:rPr>
        <w:t>L'</w:t>
      </w:r>
      <w:r w:rsidR="0032070A" w:rsidRPr="00FD3154">
        <w:rPr>
          <w:rFonts w:ascii="Times New Roman" w:hAnsi="Times New Roman" w:cs="Times New Roman"/>
          <w:sz w:val="24"/>
          <w:szCs w:val="24"/>
          <w:lang w:val="fr-FR"/>
        </w:rPr>
        <w:t>appel à soumission d´articles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pour ce dossier thématique est une invitation </w:t>
      </w:r>
      <w:r w:rsidR="009E7064" w:rsidRPr="00FD3154">
        <w:rPr>
          <w:rFonts w:ascii="Times New Roman" w:hAnsi="Times New Roman" w:cs="Times New Roman"/>
          <w:sz w:val="24"/>
          <w:szCs w:val="24"/>
          <w:lang w:val="fr-FR"/>
        </w:rPr>
        <w:t>aux chercheur</w:t>
      </w:r>
      <w:r w:rsidR="003A4DCD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s et chercheuses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à soumettre des </w:t>
      </w:r>
      <w:r w:rsidR="00C33BE1" w:rsidRPr="00FD3154">
        <w:rPr>
          <w:rFonts w:ascii="Times New Roman" w:hAnsi="Times New Roman" w:cs="Times New Roman"/>
          <w:sz w:val="24"/>
          <w:szCs w:val="24"/>
          <w:lang w:val="fr-FR"/>
        </w:rPr>
        <w:t>travaux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théoriques ou empiriques des différentes disciplines</w:t>
      </w:r>
      <w:r w:rsidR="00631D54" w:rsidRPr="00FD3154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directement ou indirectement </w:t>
      </w:r>
      <w:r w:rsidR="00DE6155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impliqué-e-s dans les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réflexions sur le rôle de l'éducation, comprise dans son sens le plus large comme un trait humain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et comme un "acte d'intervention dans le monde", </w:t>
      </w:r>
      <w:r w:rsidR="009E7064" w:rsidRPr="00FD3154">
        <w:rPr>
          <w:rFonts w:ascii="Times New Roman" w:hAnsi="Times New Roman" w:cs="Times New Roman"/>
          <w:sz w:val="24"/>
          <w:szCs w:val="24"/>
          <w:lang w:val="fr-FR"/>
        </w:rPr>
        <w:t>en utilisant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l'expression de Paulo Freire (2000, 22). </w:t>
      </w:r>
    </w:p>
    <w:p w:rsidR="00631D54" w:rsidRPr="00FD3154" w:rsidRDefault="009E7064" w:rsidP="000575B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D3154">
        <w:rPr>
          <w:rFonts w:ascii="Times New Roman" w:hAnsi="Times New Roman" w:cs="Times New Roman"/>
          <w:sz w:val="24"/>
          <w:szCs w:val="24"/>
          <w:lang w:val="fr-FR"/>
        </w:rPr>
        <w:t>Les recherches soutenues par des perspectives féministes, dans le cadre d</w:t>
      </w:r>
      <w:r w:rsidR="00DE6155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es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>études de genre et études sur les femmes, concernant tous les domaines du savoir</w:t>
      </w:r>
      <w:r w:rsidR="00631D54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, universitaire,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>disciplinaire, interdiscip</w:t>
      </w:r>
      <w:r w:rsidR="0048414E" w:rsidRPr="00FD3154">
        <w:rPr>
          <w:rFonts w:ascii="Times New Roman" w:hAnsi="Times New Roman" w:cs="Times New Roman"/>
          <w:sz w:val="24"/>
          <w:szCs w:val="24"/>
          <w:lang w:val="fr-FR"/>
        </w:rPr>
        <w:t>linaire ou multidisciplinaires, seront les bienvenues.</w:t>
      </w:r>
      <w:r w:rsidR="00631D54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5224B1" w:rsidRPr="00FD3154" w:rsidRDefault="00001DE7" w:rsidP="000575B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D3154">
        <w:rPr>
          <w:rFonts w:ascii="Times New Roman" w:hAnsi="Times New Roman" w:cs="Times New Roman"/>
          <w:sz w:val="24"/>
          <w:szCs w:val="24"/>
          <w:lang w:val="fr-FR"/>
        </w:rPr>
        <w:t>En tenant c</w:t>
      </w:r>
      <w:r w:rsidR="005224B1" w:rsidRPr="00FD3154">
        <w:rPr>
          <w:rFonts w:ascii="Times New Roman" w:hAnsi="Times New Roman" w:cs="Times New Roman"/>
          <w:sz w:val="24"/>
          <w:szCs w:val="24"/>
          <w:lang w:val="fr-FR"/>
        </w:rPr>
        <w:t>ompte de</w:t>
      </w:r>
      <w:r w:rsidR="00DE6155" w:rsidRPr="00FD3154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5224B1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perspectives constructionnistes sur la façon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comme </w:t>
      </w:r>
      <w:r w:rsidR="005224B1" w:rsidRPr="00FD3154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C33BE1" w:rsidRPr="00FD3154">
        <w:rPr>
          <w:rFonts w:ascii="Times New Roman" w:hAnsi="Times New Roman" w:cs="Times New Roman"/>
          <w:sz w:val="24"/>
          <w:szCs w:val="24"/>
          <w:lang w:val="fr-FR"/>
        </w:rPr>
        <w:t>es</w:t>
      </w:r>
      <w:r w:rsidR="005224B1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dynamique</w:t>
      </w:r>
      <w:r w:rsidR="00C33BE1" w:rsidRPr="00FD3154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5224B1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33BE1" w:rsidRPr="00FD3154">
        <w:rPr>
          <w:rFonts w:ascii="Times New Roman" w:hAnsi="Times New Roman" w:cs="Times New Roman"/>
          <w:sz w:val="24"/>
          <w:szCs w:val="24"/>
          <w:lang w:val="fr-FR"/>
        </w:rPr>
        <w:t>de genre sont</w:t>
      </w:r>
      <w:r w:rsidR="0048414E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négociée</w:t>
      </w:r>
      <w:r w:rsidR="00C33BE1" w:rsidRPr="00FD3154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5224B1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dans </w:t>
      </w:r>
      <w:r w:rsidR="0048414E" w:rsidRPr="00FD3154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5224B1" w:rsidRPr="00FD3154">
        <w:rPr>
          <w:rFonts w:ascii="Times New Roman" w:hAnsi="Times New Roman" w:cs="Times New Roman"/>
          <w:sz w:val="24"/>
          <w:szCs w:val="24"/>
          <w:lang w:val="fr-FR"/>
        </w:rPr>
        <w:t>es rapports sociaux, nous sugg</w:t>
      </w:r>
      <w:r w:rsidR="00C33BE1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érons </w:t>
      </w:r>
      <w:r w:rsidR="00DE6155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la présentation </w:t>
      </w:r>
      <w:r w:rsidR="0048414E" w:rsidRPr="00FD3154">
        <w:rPr>
          <w:rFonts w:ascii="Times New Roman" w:hAnsi="Times New Roman" w:cs="Times New Roman"/>
          <w:sz w:val="24"/>
          <w:szCs w:val="24"/>
          <w:lang w:val="fr-FR"/>
        </w:rPr>
        <w:t>des thèmes qui ont pratiquement</w:t>
      </w:r>
      <w:r w:rsidR="005224B1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disparus dans l'ordre du jour de la science</w:t>
      </w:r>
      <w:r w:rsidR="00C33BE1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33BE1" w:rsidRPr="00FD3154">
        <w:rPr>
          <w:rFonts w:ascii="Times New Roman" w:hAnsi="Times New Roman" w:cs="Times New Roman"/>
          <w:i/>
          <w:sz w:val="24"/>
          <w:szCs w:val="24"/>
          <w:lang w:val="fr-FR"/>
        </w:rPr>
        <w:t>mainstream</w:t>
      </w:r>
      <w:proofErr w:type="spellEnd"/>
      <w:r w:rsidR="005224B1" w:rsidRPr="00FD3154">
        <w:rPr>
          <w:rFonts w:ascii="Times New Roman" w:hAnsi="Times New Roman" w:cs="Times New Roman"/>
          <w:sz w:val="24"/>
          <w:szCs w:val="24"/>
          <w:lang w:val="fr-FR"/>
        </w:rPr>
        <w:t>, ainsi que des thèmes habituellem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>ent relégués au deuxième plan</w:t>
      </w:r>
      <w:r w:rsidR="005224B1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dans les différents domaines scientifiques </w:t>
      </w:r>
      <w:r w:rsidR="00C33BE1" w:rsidRPr="00FD3154">
        <w:rPr>
          <w:rFonts w:ascii="Times New Roman" w:hAnsi="Times New Roman" w:cs="Times New Roman"/>
          <w:sz w:val="24"/>
          <w:szCs w:val="24"/>
          <w:lang w:val="fr-FR"/>
        </w:rPr>
        <w:t>résulta</w:t>
      </w:r>
      <w:r w:rsidR="005224B1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nt de </w:t>
      </w:r>
      <w:r w:rsidR="007A56EF" w:rsidRPr="00FD3154">
        <w:rPr>
          <w:rFonts w:ascii="Times New Roman" w:hAnsi="Times New Roman" w:cs="Times New Roman"/>
          <w:sz w:val="24"/>
          <w:szCs w:val="24"/>
          <w:lang w:val="fr-FR"/>
        </w:rPr>
        <w:t>méthodes de</w:t>
      </w:r>
      <w:r w:rsidR="005224B1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recherche </w:t>
      </w:r>
      <w:r w:rsidR="00631D54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traditionnelle, basées </w:t>
      </w:r>
      <w:r w:rsidR="005224B1" w:rsidRPr="00FD3154">
        <w:rPr>
          <w:rFonts w:ascii="Times New Roman" w:hAnsi="Times New Roman" w:cs="Times New Roman"/>
          <w:sz w:val="24"/>
          <w:szCs w:val="24"/>
          <w:lang w:val="fr-FR"/>
        </w:rPr>
        <w:t>sur le positivisme</w:t>
      </w:r>
      <w:r w:rsidR="00661D08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="005224B1" w:rsidRPr="00FD3154">
        <w:rPr>
          <w:rFonts w:ascii="Times New Roman" w:hAnsi="Times New Roman" w:cs="Times New Roman"/>
          <w:sz w:val="24"/>
          <w:szCs w:val="24"/>
          <w:lang w:val="fr-FR"/>
        </w:rPr>
        <w:t>Järviluoma</w:t>
      </w:r>
      <w:proofErr w:type="spellEnd"/>
      <w:r w:rsidR="00661D08" w:rsidRPr="00FD3154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5224B1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224B1" w:rsidRPr="00FD3154">
        <w:rPr>
          <w:rFonts w:ascii="Times New Roman" w:hAnsi="Times New Roman" w:cs="Times New Roman"/>
          <w:sz w:val="24"/>
          <w:szCs w:val="24"/>
          <w:lang w:val="fr-FR"/>
        </w:rPr>
        <w:t>Moisala</w:t>
      </w:r>
      <w:proofErr w:type="spellEnd"/>
      <w:r w:rsidR="005224B1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, et </w:t>
      </w:r>
      <w:proofErr w:type="spellStart"/>
      <w:r w:rsidR="005224B1" w:rsidRPr="00FD3154">
        <w:rPr>
          <w:rFonts w:ascii="Times New Roman" w:hAnsi="Times New Roman" w:cs="Times New Roman"/>
          <w:sz w:val="24"/>
          <w:szCs w:val="24"/>
          <w:lang w:val="fr-FR"/>
        </w:rPr>
        <w:t>Vilkko</w:t>
      </w:r>
      <w:proofErr w:type="spellEnd"/>
      <w:r w:rsidR="005224B1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2003).</w:t>
      </w:r>
    </w:p>
    <w:p w:rsidR="005224B1" w:rsidRPr="00FD3154" w:rsidRDefault="005224B1" w:rsidP="000575B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D3154">
        <w:rPr>
          <w:rFonts w:ascii="Times New Roman" w:hAnsi="Times New Roman" w:cs="Times New Roman"/>
          <w:sz w:val="24"/>
          <w:szCs w:val="24"/>
          <w:lang w:val="fr-FR"/>
        </w:rPr>
        <w:t>Sans li</w:t>
      </w:r>
      <w:r w:rsidR="007A56EF" w:rsidRPr="00FD3154">
        <w:rPr>
          <w:rFonts w:ascii="Times New Roman" w:hAnsi="Times New Roman" w:cs="Times New Roman"/>
          <w:sz w:val="24"/>
          <w:szCs w:val="24"/>
          <w:lang w:val="fr-FR"/>
        </w:rPr>
        <w:t>miter l'éventail de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thèmes possibles pour ce dossier, </w:t>
      </w:r>
      <w:r w:rsidR="007A56EF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nous proposons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>les domaines thématiques suivants:</w:t>
      </w:r>
    </w:p>
    <w:p w:rsidR="005224B1" w:rsidRPr="00FD3154" w:rsidRDefault="00C33BE1" w:rsidP="000575B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D3154">
        <w:rPr>
          <w:rFonts w:ascii="Times New Roman" w:hAnsi="Times New Roman" w:cs="Times New Roman"/>
          <w:sz w:val="24"/>
          <w:szCs w:val="24"/>
          <w:lang w:val="fr-FR"/>
        </w:rPr>
        <w:t>- La</w:t>
      </w:r>
      <w:r w:rsidR="005224B1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place des questions de genre dans l'éducation formelle, de l'école obligatoi</w:t>
      </w:r>
      <w:r w:rsidR="00661D08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re à l'éducation postsecondaire: </w:t>
      </w:r>
      <w:r w:rsidR="00DE6155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="00661D08" w:rsidRPr="00FD3154">
        <w:rPr>
          <w:rFonts w:ascii="Times New Roman" w:hAnsi="Times New Roman" w:cs="Times New Roman"/>
          <w:sz w:val="24"/>
          <w:szCs w:val="24"/>
          <w:lang w:val="fr-FR"/>
        </w:rPr>
        <w:t>environnements</w:t>
      </w:r>
      <w:r w:rsidR="005224B1" w:rsidRPr="00FD3154">
        <w:rPr>
          <w:rFonts w:ascii="Times New Roman" w:hAnsi="Times New Roman" w:cs="Times New Roman"/>
          <w:sz w:val="24"/>
          <w:szCs w:val="24"/>
          <w:lang w:val="fr-FR"/>
        </w:rPr>
        <w:t>; les interacti</w:t>
      </w:r>
      <w:r w:rsidR="00661D08" w:rsidRPr="00FD3154">
        <w:rPr>
          <w:rFonts w:ascii="Times New Roman" w:hAnsi="Times New Roman" w:cs="Times New Roman"/>
          <w:sz w:val="24"/>
          <w:szCs w:val="24"/>
          <w:lang w:val="fr-FR"/>
        </w:rPr>
        <w:t>ons personnelles et collectives</w:t>
      </w:r>
      <w:r w:rsidR="005224B1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  <w:r w:rsidR="0061400C" w:rsidRPr="00FD3154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DE6155" w:rsidRPr="00FD3154">
        <w:rPr>
          <w:rFonts w:ascii="Times New Roman" w:hAnsi="Times New Roman" w:cs="Times New Roman"/>
          <w:sz w:val="24"/>
          <w:szCs w:val="24"/>
          <w:lang w:val="fr-FR"/>
        </w:rPr>
        <w:t>es</w:t>
      </w:r>
      <w:r w:rsidR="0061400C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61D08" w:rsidRPr="00FD3154">
        <w:rPr>
          <w:rFonts w:ascii="Times New Roman" w:hAnsi="Times New Roman" w:cs="Times New Roman"/>
          <w:sz w:val="24"/>
          <w:szCs w:val="24"/>
          <w:lang w:val="fr-FR"/>
        </w:rPr>
        <w:t>dynamique</w:t>
      </w:r>
      <w:r w:rsidR="00DE6155" w:rsidRPr="00FD3154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661D08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organisationnelle</w:t>
      </w:r>
      <w:r w:rsidR="00DE6155" w:rsidRPr="00FD3154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5224B1" w:rsidRPr="00FD3154">
        <w:rPr>
          <w:rFonts w:ascii="Times New Roman" w:hAnsi="Times New Roman" w:cs="Times New Roman"/>
          <w:sz w:val="24"/>
          <w:szCs w:val="24"/>
          <w:lang w:val="fr-FR"/>
        </w:rPr>
        <w:t>; l'utilisation des ressources</w:t>
      </w:r>
      <w:r w:rsidR="0061400C" w:rsidRPr="00FD315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224B1" w:rsidRPr="00FD3154" w:rsidRDefault="005224B1" w:rsidP="000575B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D3154">
        <w:rPr>
          <w:rFonts w:ascii="Times New Roman" w:hAnsi="Times New Roman" w:cs="Times New Roman"/>
          <w:sz w:val="24"/>
          <w:szCs w:val="24"/>
          <w:lang w:val="fr-FR"/>
        </w:rPr>
        <w:t>- Genre et citoyen</w:t>
      </w:r>
      <w:r w:rsidR="00661D08" w:rsidRPr="00FD3154">
        <w:rPr>
          <w:rFonts w:ascii="Times New Roman" w:hAnsi="Times New Roman" w:cs="Times New Roman"/>
          <w:sz w:val="24"/>
          <w:szCs w:val="24"/>
          <w:lang w:val="fr-FR"/>
        </w:rPr>
        <w:t>neté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: le rôle des connaissances scientifiques dans la promotion de l'égalité sociale entre les hommes et les femmes. </w:t>
      </w:r>
    </w:p>
    <w:p w:rsidR="005224B1" w:rsidRPr="00FD3154" w:rsidRDefault="005224B1" w:rsidP="000575B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D3154">
        <w:rPr>
          <w:rFonts w:ascii="Times New Roman" w:hAnsi="Times New Roman" w:cs="Times New Roman"/>
          <w:sz w:val="24"/>
          <w:szCs w:val="24"/>
          <w:lang w:val="fr-FR"/>
        </w:rPr>
        <w:t>- Genre, s</w:t>
      </w:r>
      <w:r w:rsidR="00661D08" w:rsidRPr="00FD3154">
        <w:rPr>
          <w:rFonts w:ascii="Times New Roman" w:hAnsi="Times New Roman" w:cs="Times New Roman"/>
          <w:sz w:val="24"/>
          <w:szCs w:val="24"/>
          <w:lang w:val="fr-FR"/>
        </w:rPr>
        <w:t>cience et culture universitaire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Pr="00FD3154">
        <w:rPr>
          <w:rFonts w:ascii="Times New Roman" w:hAnsi="Times New Roman" w:cs="Times New Roman"/>
          <w:sz w:val="24"/>
          <w:szCs w:val="24"/>
          <w:lang w:val="fr-FR"/>
        </w:rPr>
        <w:t>androcentrism</w:t>
      </w:r>
      <w:r w:rsidR="0061400C" w:rsidRPr="00FD3154">
        <w:rPr>
          <w:rFonts w:ascii="Times New Roman" w:hAnsi="Times New Roman" w:cs="Times New Roman"/>
          <w:sz w:val="24"/>
          <w:szCs w:val="24"/>
          <w:lang w:val="fr-FR"/>
        </w:rPr>
        <w:t>e</w:t>
      </w:r>
      <w:proofErr w:type="spellEnd"/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, canons et </w:t>
      </w:r>
      <w:r w:rsidR="00671936" w:rsidRPr="00FD3154">
        <w:rPr>
          <w:rFonts w:ascii="Times New Roman" w:hAnsi="Times New Roman" w:cs="Times New Roman"/>
          <w:sz w:val="24"/>
          <w:szCs w:val="24"/>
          <w:lang w:val="fr-FR"/>
        </w:rPr>
        <w:t>savoirs institués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85D3F" w:rsidRPr="00FD3154" w:rsidRDefault="005224B1" w:rsidP="000575B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="00C33BE1" w:rsidRPr="00FD3154"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'égalité des sexes et </w:t>
      </w:r>
      <w:r w:rsidR="00B337E1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les programmes d'enseignement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dans </w:t>
      </w:r>
      <w:r w:rsidR="00B337E1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>différents cycle</w:t>
      </w:r>
      <w:r w:rsidR="00661D08" w:rsidRPr="00FD3154">
        <w:rPr>
          <w:rFonts w:ascii="Times New Roman" w:hAnsi="Times New Roman" w:cs="Times New Roman"/>
          <w:sz w:val="24"/>
          <w:szCs w:val="24"/>
          <w:lang w:val="fr-FR"/>
        </w:rPr>
        <w:t>s du système éducatif</w:t>
      </w:r>
      <w:r w:rsidR="00671936" w:rsidRPr="00FD3154">
        <w:rPr>
          <w:rFonts w:ascii="Times New Roman" w:hAnsi="Times New Roman" w:cs="Times New Roman"/>
          <w:sz w:val="24"/>
          <w:szCs w:val="24"/>
          <w:lang w:val="fr-FR"/>
        </w:rPr>
        <w:t>: (en)cohérenc</w:t>
      </w:r>
      <w:r w:rsidR="00F85D3F" w:rsidRPr="00FD3154">
        <w:rPr>
          <w:rFonts w:ascii="Times New Roman" w:hAnsi="Times New Roman" w:cs="Times New Roman"/>
          <w:sz w:val="24"/>
          <w:szCs w:val="24"/>
          <w:lang w:val="fr-FR"/>
        </w:rPr>
        <w:t>es et divergences/</w:t>
      </w:r>
      <w:proofErr w:type="spellStart"/>
      <w:r w:rsidR="00F85D3F" w:rsidRPr="00FD3154">
        <w:rPr>
          <w:rFonts w:ascii="Times New Roman" w:hAnsi="Times New Roman" w:cs="Times New Roman"/>
          <w:sz w:val="24"/>
          <w:szCs w:val="24"/>
          <w:lang w:val="fr-FR"/>
        </w:rPr>
        <w:t>convé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>rgences</w:t>
      </w:r>
      <w:proofErr w:type="spellEnd"/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entre discours et pratiques éducatives.</w:t>
      </w:r>
    </w:p>
    <w:p w:rsidR="005224B1" w:rsidRPr="00FD3154" w:rsidRDefault="005224B1" w:rsidP="000575B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</w:pPr>
      <w:r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- </w:t>
      </w:r>
      <w:r w:rsidR="00B25CE8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>R</w:t>
      </w:r>
      <w:r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eprésentations du </w:t>
      </w:r>
      <w:r w:rsidR="00B25CE8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genre, des </w:t>
      </w:r>
      <w:r w:rsidR="00631D54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>hégémonie</w:t>
      </w:r>
      <w:r w:rsidR="00B25CE8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>s</w:t>
      </w:r>
      <w:r w:rsidR="00661D08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 et des </w:t>
      </w:r>
      <w:r w:rsidR="00B25CE8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>diversités</w:t>
      </w:r>
      <w:r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: l'apprentissage </w:t>
      </w:r>
      <w:r w:rsidR="00F85D3F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>de</w:t>
      </w:r>
      <w:r w:rsidR="00631D54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 </w:t>
      </w:r>
      <w:r w:rsidR="00B25CE8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la </w:t>
      </w:r>
      <w:r w:rsidR="00F85D3F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>subordination</w:t>
      </w:r>
      <w:r w:rsidR="00631D54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 </w:t>
      </w:r>
      <w:r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et </w:t>
      </w:r>
      <w:r w:rsidR="00B25CE8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>l’</w:t>
      </w:r>
      <w:r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>apprentissage</w:t>
      </w:r>
      <w:r w:rsidR="00631D54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 </w:t>
      </w:r>
      <w:r w:rsidR="00F85D3F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>du domaine</w:t>
      </w:r>
      <w:r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. </w:t>
      </w:r>
    </w:p>
    <w:p w:rsidR="005224B1" w:rsidRPr="00FD3154" w:rsidRDefault="005224B1" w:rsidP="000575B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</w:pPr>
      <w:r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- </w:t>
      </w:r>
      <w:r w:rsidR="00C33BE1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>D</w:t>
      </w:r>
      <w:r w:rsidR="00F85D3F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u succès </w:t>
      </w:r>
      <w:r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scolaire à la réussite éducative et </w:t>
      </w:r>
      <w:r w:rsidR="00B25CE8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la réussite </w:t>
      </w:r>
      <w:r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sociale des filles et des garçons. </w:t>
      </w:r>
    </w:p>
    <w:p w:rsidR="005224B1" w:rsidRPr="00FD3154" w:rsidRDefault="005224B1" w:rsidP="00F716A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</w:pPr>
      <w:r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>- Paradigmes masculin</w:t>
      </w:r>
      <w:r w:rsidR="00B25CE8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>s</w:t>
      </w:r>
      <w:r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 et paradigmes </w:t>
      </w:r>
      <w:r w:rsidR="00F85D3F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>féminin</w:t>
      </w:r>
      <w:r w:rsidR="00B25CE8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>s</w:t>
      </w:r>
      <w:r w:rsidR="00F85D3F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 dans</w:t>
      </w:r>
      <w:r w:rsidR="00F716A1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 xml:space="preserve"> l'enseignement scolaire</w:t>
      </w:r>
      <w:r w:rsidR="00B25CE8"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>: centralité et marginalité</w:t>
      </w:r>
      <w:r w:rsidRPr="00FD3154"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  <w:t>.</w:t>
      </w:r>
    </w:p>
    <w:p w:rsidR="005224B1" w:rsidRPr="00FD3154" w:rsidRDefault="005224B1" w:rsidP="000575B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="00F716A1" w:rsidRPr="00FD3154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ntre le monde </w:t>
      </w:r>
      <w:r w:rsidR="006A60F4" w:rsidRPr="00FD3154">
        <w:rPr>
          <w:rFonts w:ascii="Times New Roman" w:hAnsi="Times New Roman" w:cs="Times New Roman"/>
          <w:sz w:val="24"/>
          <w:szCs w:val="24"/>
          <w:lang w:val="fr-FR"/>
        </w:rPr>
        <w:t>virtuel</w:t>
      </w:r>
      <w:r w:rsidR="00F716A1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et le monde réel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>: no</w:t>
      </w:r>
      <w:r w:rsidR="006A60F4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uveaux espaces informels et </w:t>
      </w:r>
      <w:r w:rsidR="00631D54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rapports sociaux </w:t>
      </w:r>
      <w:r w:rsidR="00D3681C" w:rsidRPr="00FD3154">
        <w:rPr>
          <w:rFonts w:ascii="Times New Roman" w:hAnsi="Times New Roman" w:cs="Times New Roman"/>
          <w:sz w:val="24"/>
          <w:szCs w:val="24"/>
          <w:lang w:val="fr-FR"/>
        </w:rPr>
        <w:t>entre les sexes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5224B1" w:rsidRPr="00FD3154" w:rsidRDefault="005224B1" w:rsidP="000575B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D3154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- </w:t>
      </w:r>
      <w:r w:rsidR="006A60F4" w:rsidRPr="00FD3154">
        <w:rPr>
          <w:rFonts w:ascii="Times New Roman" w:hAnsi="Times New Roman" w:cs="Times New Roman"/>
          <w:sz w:val="24"/>
          <w:szCs w:val="24"/>
          <w:lang w:val="fr-FR"/>
        </w:rPr>
        <w:t>Les problématiques de  genre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dans la formation initi</w:t>
      </w:r>
      <w:r w:rsidR="00F716A1" w:rsidRPr="00FD3154">
        <w:rPr>
          <w:rFonts w:ascii="Times New Roman" w:hAnsi="Times New Roman" w:cs="Times New Roman"/>
          <w:sz w:val="24"/>
          <w:szCs w:val="24"/>
          <w:lang w:val="fr-FR"/>
        </w:rPr>
        <w:t>ale et continue des enseignant</w:t>
      </w:r>
      <w:r w:rsidR="00D3681C" w:rsidRPr="00FD3154">
        <w:rPr>
          <w:rFonts w:ascii="Times New Roman" w:hAnsi="Times New Roman" w:cs="Times New Roman"/>
          <w:sz w:val="24"/>
          <w:szCs w:val="24"/>
          <w:lang w:val="fr-FR"/>
        </w:rPr>
        <w:t>-e-</w:t>
      </w:r>
      <w:r w:rsidR="00F716A1" w:rsidRPr="00FD3154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>: le rôle des établis</w:t>
      </w:r>
      <w:r w:rsidR="00F716A1" w:rsidRPr="00FD3154">
        <w:rPr>
          <w:rFonts w:ascii="Times New Roman" w:hAnsi="Times New Roman" w:cs="Times New Roman"/>
          <w:sz w:val="24"/>
          <w:szCs w:val="24"/>
          <w:lang w:val="fr-FR"/>
        </w:rPr>
        <w:t>sements d'enseignement supérieur.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6A60F4" w:rsidRPr="00FD3154" w:rsidRDefault="005224B1" w:rsidP="000575B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="00F716A1" w:rsidRPr="00FD3154"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r w:rsidR="006A60F4" w:rsidRPr="00FD3154">
        <w:rPr>
          <w:rFonts w:ascii="Times New Roman" w:hAnsi="Times New Roman" w:cs="Times New Roman"/>
          <w:sz w:val="24"/>
          <w:szCs w:val="24"/>
          <w:lang w:val="fr-FR"/>
        </w:rPr>
        <w:t>genre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et la formation continue des enseignant</w:t>
      </w:r>
      <w:r w:rsidR="00D3681C" w:rsidRPr="00FD3154">
        <w:rPr>
          <w:rFonts w:ascii="Times New Roman" w:hAnsi="Times New Roman" w:cs="Times New Roman"/>
          <w:sz w:val="24"/>
          <w:szCs w:val="24"/>
          <w:lang w:val="fr-FR"/>
        </w:rPr>
        <w:t>-e-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D3681C" w:rsidRPr="00FD3154">
        <w:rPr>
          <w:rFonts w:ascii="Times New Roman" w:hAnsi="Times New Roman" w:cs="Times New Roman"/>
          <w:sz w:val="24"/>
          <w:szCs w:val="24"/>
          <w:lang w:val="fr-FR"/>
        </w:rPr>
        <w:t>: des partenariats locaux et d</w:t>
      </w:r>
      <w:r w:rsidR="006A60F4" w:rsidRPr="00FD3154">
        <w:rPr>
          <w:rFonts w:ascii="Times New Roman" w:hAnsi="Times New Roman" w:cs="Times New Roman"/>
          <w:sz w:val="24"/>
          <w:szCs w:val="24"/>
          <w:lang w:val="fr-FR"/>
        </w:rPr>
        <w:t>es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dynamique</w:t>
      </w:r>
      <w:r w:rsidR="006A60F4" w:rsidRPr="00FD3154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régionale</w:t>
      </w:r>
      <w:r w:rsidR="006A60F4" w:rsidRPr="00FD3154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224B1" w:rsidRPr="00FD3154" w:rsidRDefault="005224B1" w:rsidP="000575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="00F716A1" w:rsidRPr="00FD3154"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>es relations entre les sexes, l'é</w:t>
      </w:r>
      <w:r w:rsidR="006A60F4" w:rsidRPr="00FD3154">
        <w:rPr>
          <w:rFonts w:ascii="Times New Roman" w:hAnsi="Times New Roman" w:cs="Times New Roman"/>
          <w:sz w:val="24"/>
          <w:szCs w:val="24"/>
          <w:lang w:val="fr-FR"/>
        </w:rPr>
        <w:t>ducation et l'autonomisation de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personnes</w:t>
      </w:r>
      <w:r w:rsidR="006A60F4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ou</w:t>
      </w:r>
      <w:r w:rsidR="00631D54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A60F4" w:rsidRPr="00FD3154">
        <w:rPr>
          <w:rFonts w:ascii="Times New Roman" w:hAnsi="Times New Roman" w:cs="Times New Roman"/>
          <w:sz w:val="24"/>
          <w:szCs w:val="24"/>
          <w:lang w:val="fr-FR"/>
        </w:rPr>
        <w:t>groupes</w:t>
      </w:r>
      <w:r w:rsidR="00631D54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vulnérables </w:t>
      </w:r>
      <w:r w:rsidR="00F716A1" w:rsidRPr="00FD3154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r w:rsidR="00F716A1" w:rsidRPr="00FD3154">
        <w:rPr>
          <w:rFonts w:ascii="Times New Roman" w:hAnsi="Times New Roman" w:cs="Times New Roman"/>
          <w:sz w:val="24"/>
          <w:szCs w:val="24"/>
          <w:lang w:val="fr-FR"/>
        </w:rPr>
        <w:t>e.g</w:t>
      </w:r>
      <w:proofErr w:type="spellEnd"/>
      <w:r w:rsidR="00F716A1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D3681C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des </w:t>
      </w:r>
      <w:r w:rsidR="00F716A1" w:rsidRPr="00FD3154">
        <w:rPr>
          <w:rFonts w:ascii="Times New Roman" w:hAnsi="Times New Roman" w:cs="Times New Roman"/>
          <w:sz w:val="24"/>
          <w:szCs w:val="24"/>
          <w:lang w:val="fr-FR"/>
        </w:rPr>
        <w:t>femmes âgées analphabètes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  <w:r w:rsidR="00D3681C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des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hommes ou </w:t>
      </w:r>
      <w:r w:rsidR="00D3681C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des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>femmes</w:t>
      </w:r>
      <w:r w:rsidR="00B77D41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migrants</w:t>
      </w:r>
      <w:r w:rsidR="00F716A1" w:rsidRPr="00FD3154">
        <w:rPr>
          <w:rFonts w:ascii="Times New Roman" w:hAnsi="Times New Roman" w:cs="Times New Roman"/>
          <w:sz w:val="24"/>
          <w:szCs w:val="24"/>
          <w:lang w:val="fr-FR"/>
        </w:rPr>
        <w:t>;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3681C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des </w:t>
      </w:r>
      <w:r w:rsidR="00B77D41" w:rsidRPr="00FD3154">
        <w:rPr>
          <w:rFonts w:ascii="Times New Roman" w:hAnsi="Times New Roman" w:cs="Times New Roman"/>
          <w:sz w:val="24"/>
          <w:szCs w:val="24"/>
          <w:lang w:val="fr-FR"/>
        </w:rPr>
        <w:t>personnes handicapées et/ou à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besoins éducatifs spéciaux).</w:t>
      </w:r>
    </w:p>
    <w:p w:rsidR="005201D8" w:rsidRPr="00FD3154" w:rsidRDefault="00F716A1" w:rsidP="000575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r w:rsidR="00B77D41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Le genre </w:t>
      </w:r>
      <w:r w:rsidR="00293D62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et </w:t>
      </w:r>
      <w:r w:rsidR="00D3681C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293D62" w:rsidRPr="00FD3154">
        <w:rPr>
          <w:rFonts w:ascii="Times New Roman" w:hAnsi="Times New Roman" w:cs="Times New Roman"/>
          <w:sz w:val="24"/>
          <w:szCs w:val="24"/>
          <w:lang w:val="fr-FR"/>
        </w:rPr>
        <w:t>transversalité disciplinaire</w:t>
      </w:r>
      <w:r w:rsidR="00B77D41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="00293D62" w:rsidRPr="00FD3154">
        <w:rPr>
          <w:rFonts w:ascii="Times New Roman" w:hAnsi="Times New Roman" w:cs="Times New Roman"/>
          <w:sz w:val="24"/>
          <w:szCs w:val="24"/>
          <w:lang w:val="fr-FR"/>
        </w:rPr>
        <w:t>les</w:t>
      </w:r>
      <w:r w:rsidR="005224B1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connaissances </w:t>
      </w:r>
      <w:r w:rsidR="00293D62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disciplinaires </w:t>
      </w:r>
      <w:r w:rsidR="005224B1" w:rsidRPr="00FD3154">
        <w:rPr>
          <w:rFonts w:ascii="Times New Roman" w:hAnsi="Times New Roman" w:cs="Times New Roman"/>
          <w:sz w:val="24"/>
          <w:szCs w:val="24"/>
          <w:lang w:val="fr-FR"/>
        </w:rPr>
        <w:t>et compétences</w:t>
      </w:r>
      <w:r w:rsidR="00293D62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transversales</w:t>
      </w:r>
      <w:r w:rsidR="005224B1"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 dans la formation des professionnel</w:t>
      </w:r>
      <w:r w:rsidR="00D3681C" w:rsidRPr="00FD3154">
        <w:rPr>
          <w:rFonts w:ascii="Times New Roman" w:hAnsi="Times New Roman" w:cs="Times New Roman"/>
          <w:sz w:val="24"/>
          <w:szCs w:val="24"/>
          <w:lang w:val="fr-FR"/>
        </w:rPr>
        <w:t>-le-</w:t>
      </w:r>
      <w:r w:rsidR="005224B1" w:rsidRPr="00FD3154">
        <w:rPr>
          <w:rFonts w:ascii="Times New Roman" w:hAnsi="Times New Roman" w:cs="Times New Roman"/>
          <w:sz w:val="24"/>
          <w:szCs w:val="24"/>
          <w:lang w:val="fr-FR"/>
        </w:rPr>
        <w:t>s de l'éducation.</w:t>
      </w:r>
    </w:p>
    <w:p w:rsidR="00BC3313" w:rsidRPr="00FD3154" w:rsidRDefault="00BC3313" w:rsidP="000575B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pt-PT"/>
        </w:rPr>
      </w:pPr>
    </w:p>
    <w:p w:rsidR="00EA6AAD" w:rsidRPr="00FD3154" w:rsidRDefault="006A0AF1" w:rsidP="000575BB">
      <w:pPr>
        <w:spacing w:after="0" w:line="276" w:lineRule="auto"/>
        <w:ind w:right="-285" w:firstLine="567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proofErr w:type="spellStart"/>
      <w:r w:rsidRPr="00FD3154">
        <w:rPr>
          <w:rFonts w:ascii="Times New Roman" w:hAnsi="Times New Roman" w:cs="Times New Roman"/>
          <w:b/>
          <w:sz w:val="24"/>
          <w:szCs w:val="24"/>
          <w:lang w:val="pt-PT"/>
        </w:rPr>
        <w:t>Réfé</w:t>
      </w:r>
      <w:r w:rsidR="00EA6AAD" w:rsidRPr="00FD3154">
        <w:rPr>
          <w:rFonts w:ascii="Times New Roman" w:hAnsi="Times New Roman" w:cs="Times New Roman"/>
          <w:b/>
          <w:sz w:val="24"/>
          <w:szCs w:val="24"/>
          <w:lang w:val="pt-PT"/>
        </w:rPr>
        <w:t>rences</w:t>
      </w:r>
      <w:proofErr w:type="spellEnd"/>
    </w:p>
    <w:p w:rsidR="00F716A1" w:rsidRPr="00FD3154" w:rsidRDefault="00F716A1" w:rsidP="000575BB">
      <w:pPr>
        <w:spacing w:after="0" w:line="276" w:lineRule="auto"/>
        <w:ind w:right="-285" w:firstLine="567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EA6AAD" w:rsidRPr="00FD3154" w:rsidRDefault="00EA6AAD" w:rsidP="000575BB">
      <w:pPr>
        <w:pStyle w:val="Textodenotaderodap"/>
        <w:spacing w:line="276" w:lineRule="auto"/>
        <w:ind w:left="1134" w:hanging="1134"/>
        <w:jc w:val="both"/>
        <w:rPr>
          <w:rFonts w:ascii="Times New Roman" w:hAnsi="Times New Roman"/>
          <w:sz w:val="24"/>
          <w:szCs w:val="24"/>
          <w:lang w:val="fr-FR"/>
        </w:rPr>
      </w:pPr>
      <w:r w:rsidRPr="00FD3154">
        <w:rPr>
          <w:rFonts w:ascii="Times New Roman" w:hAnsi="Times New Roman"/>
          <w:sz w:val="24"/>
          <w:szCs w:val="24"/>
          <w:lang w:val="pt-PT"/>
        </w:rPr>
        <w:t xml:space="preserve">Alvarez, Teresa e Cristina C. Vieira. 2014. “O papel da educação no caminho que falta percorrer em Portugal na desconstrução dos estereótipos de género: breves reflexões”. </w:t>
      </w:r>
      <w:proofErr w:type="spellStart"/>
      <w:r w:rsidRPr="00FD3154">
        <w:rPr>
          <w:rFonts w:ascii="Times New Roman" w:hAnsi="Times New Roman"/>
          <w:i/>
          <w:sz w:val="24"/>
          <w:szCs w:val="24"/>
          <w:lang w:val="fr-FR"/>
        </w:rPr>
        <w:t>Exedra</w:t>
      </w:r>
      <w:proofErr w:type="spellEnd"/>
      <w:r w:rsidRPr="00FD3154">
        <w:rPr>
          <w:rFonts w:ascii="Times New Roman" w:hAnsi="Times New Roman"/>
          <w:sz w:val="24"/>
          <w:szCs w:val="24"/>
          <w:lang w:val="fr-FR"/>
        </w:rPr>
        <w:t xml:space="preserve">, 8-17. Disponible à: </w:t>
      </w:r>
      <w:hyperlink r:id="rId7" w:history="1">
        <w:r w:rsidRPr="00FD3154">
          <w:rPr>
            <w:rStyle w:val="Hiperligao"/>
            <w:rFonts w:ascii="Times New Roman" w:hAnsi="Times New Roman"/>
            <w:color w:val="auto"/>
            <w:sz w:val="24"/>
            <w:szCs w:val="24"/>
            <w:lang w:val="fr-FR"/>
          </w:rPr>
          <w:t>http://www.exedrajournal.com/wp-content/uploads/2014/12/sup14-8-17.pdf</w:t>
        </w:r>
      </w:hyperlink>
      <w:r w:rsidR="00F716A1" w:rsidRPr="00FD3154">
        <w:rPr>
          <w:rStyle w:val="Hiperligao"/>
          <w:rFonts w:ascii="Times New Roman" w:hAnsi="Times New Roman"/>
          <w:color w:val="auto"/>
          <w:sz w:val="24"/>
          <w:szCs w:val="24"/>
          <w:lang w:val="fr-FR"/>
        </w:rPr>
        <w:t xml:space="preserve"> </w:t>
      </w:r>
    </w:p>
    <w:p w:rsidR="00EA6AAD" w:rsidRPr="00FD3154" w:rsidRDefault="00EA6AAD" w:rsidP="000575BB">
      <w:pPr>
        <w:pStyle w:val="Textodenotaderodap"/>
        <w:spacing w:line="276" w:lineRule="auto"/>
        <w:ind w:left="1134" w:hanging="113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D3154">
        <w:rPr>
          <w:rFonts w:ascii="Times New Roman" w:hAnsi="Times New Roman"/>
          <w:sz w:val="24"/>
          <w:szCs w:val="24"/>
          <w:lang w:val="en-US"/>
        </w:rPr>
        <w:t>Arnot</w:t>
      </w:r>
      <w:proofErr w:type="spellEnd"/>
      <w:r w:rsidRPr="00FD3154">
        <w:rPr>
          <w:rFonts w:ascii="Times New Roman" w:hAnsi="Times New Roman"/>
          <w:sz w:val="24"/>
          <w:szCs w:val="24"/>
          <w:lang w:val="en-US"/>
        </w:rPr>
        <w:t xml:space="preserve">, Madeleine. 2009. </w:t>
      </w:r>
      <w:r w:rsidRPr="00FD3154">
        <w:rPr>
          <w:rFonts w:ascii="Times New Roman" w:hAnsi="Times New Roman"/>
          <w:i/>
          <w:sz w:val="24"/>
          <w:szCs w:val="24"/>
          <w:lang w:val="en-US"/>
        </w:rPr>
        <w:t>Educating the gendered citizen: Sociological engagements with national and global agendas.</w:t>
      </w:r>
      <w:r w:rsidRPr="00FD3154">
        <w:rPr>
          <w:rFonts w:ascii="Times New Roman" w:hAnsi="Times New Roman"/>
          <w:sz w:val="24"/>
          <w:szCs w:val="24"/>
          <w:lang w:val="en-US"/>
        </w:rPr>
        <w:t xml:space="preserve"> London: Routledge.</w:t>
      </w:r>
    </w:p>
    <w:p w:rsidR="00EA6AAD" w:rsidRPr="00FD3154" w:rsidRDefault="00EA6AAD" w:rsidP="00F716A1">
      <w:pPr>
        <w:pStyle w:val="Textodenotaderodap"/>
        <w:spacing w:line="276" w:lineRule="auto"/>
        <w:ind w:left="1134" w:hanging="1134"/>
        <w:rPr>
          <w:rFonts w:ascii="Times New Roman" w:hAnsi="Times New Roman"/>
          <w:sz w:val="24"/>
          <w:szCs w:val="24"/>
          <w:lang w:val="fr-FR"/>
        </w:rPr>
      </w:pPr>
      <w:r w:rsidRPr="00FD3154">
        <w:rPr>
          <w:rFonts w:ascii="Times New Roman" w:hAnsi="Times New Roman"/>
          <w:sz w:val="24"/>
          <w:szCs w:val="24"/>
          <w:lang w:val="en-US"/>
        </w:rPr>
        <w:t xml:space="preserve">European Commission. 2016. </w:t>
      </w:r>
      <w:r w:rsidRPr="00FD3154">
        <w:rPr>
          <w:rFonts w:ascii="Times New Roman" w:hAnsi="Times New Roman"/>
          <w:i/>
          <w:sz w:val="24"/>
          <w:szCs w:val="24"/>
          <w:lang w:val="en-US"/>
        </w:rPr>
        <w:t>Promoting citizenship and the common values of freedom, tolerance and non-discrimination through education</w:t>
      </w:r>
      <w:r w:rsidRPr="00FD3154">
        <w:rPr>
          <w:rFonts w:ascii="Times New Roman" w:hAnsi="Times New Roman"/>
          <w:sz w:val="24"/>
          <w:szCs w:val="24"/>
          <w:lang w:val="en-US"/>
        </w:rPr>
        <w:t xml:space="preserve">: Overview of education policy developments in Europe following the Paris Declaration of 17 March 2015. Luxembourg: Publications Office of the European Union. </w:t>
      </w:r>
      <w:proofErr w:type="spellStart"/>
      <w:r w:rsidRPr="00FD3154">
        <w:rPr>
          <w:rFonts w:ascii="Times New Roman" w:hAnsi="Times New Roman"/>
          <w:sz w:val="24"/>
          <w:szCs w:val="24"/>
          <w:lang w:val="en-US"/>
        </w:rPr>
        <w:t>Disponible</w:t>
      </w:r>
      <w:proofErr w:type="spellEnd"/>
      <w:r w:rsidRPr="00FD3154">
        <w:rPr>
          <w:rFonts w:ascii="Times New Roman" w:hAnsi="Times New Roman"/>
          <w:sz w:val="24"/>
          <w:szCs w:val="24"/>
          <w:lang w:val="en-US"/>
        </w:rPr>
        <w:t xml:space="preserve"> à</w:t>
      </w:r>
      <w:r w:rsidRPr="00FD3154">
        <w:rPr>
          <w:rFonts w:ascii="Times New Roman" w:hAnsi="Times New Roman"/>
          <w:sz w:val="24"/>
          <w:szCs w:val="24"/>
          <w:lang w:val="fr-FR"/>
        </w:rPr>
        <w:t xml:space="preserve">: </w:t>
      </w:r>
      <w:hyperlink r:id="rId8" w:history="1">
        <w:r w:rsidRPr="00FD3154">
          <w:rPr>
            <w:rStyle w:val="Hiperligao"/>
            <w:rFonts w:ascii="Times New Roman" w:hAnsi="Times New Roman"/>
            <w:color w:val="auto"/>
            <w:sz w:val="24"/>
            <w:szCs w:val="24"/>
            <w:shd w:val="clear" w:color="auto" w:fill="FFFFFF"/>
            <w:lang w:val="fr-FR"/>
          </w:rPr>
          <w:t>https://webgate.ec.europa.eu/fpfis/mwikis/eurydice/images/1/14/Leaflet_Paris_Declaration.pdf</w:t>
        </w:r>
      </w:hyperlink>
    </w:p>
    <w:p w:rsidR="00EA6AAD" w:rsidRPr="00FD3154" w:rsidRDefault="00EA6AAD" w:rsidP="000575BB">
      <w:pPr>
        <w:spacing w:after="0" w:line="276" w:lineRule="auto"/>
        <w:ind w:left="1134" w:right="-285" w:hanging="1134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D3154">
        <w:rPr>
          <w:rFonts w:ascii="Times New Roman" w:hAnsi="Times New Roman" w:cs="Times New Roman"/>
          <w:sz w:val="24"/>
          <w:szCs w:val="24"/>
          <w:lang w:val="pt-PT"/>
        </w:rPr>
        <w:t xml:space="preserve">Freire, Paulo. 2000. </w:t>
      </w:r>
      <w:r w:rsidRPr="00FD3154">
        <w:rPr>
          <w:rFonts w:ascii="Times New Roman" w:hAnsi="Times New Roman" w:cs="Times New Roman"/>
          <w:i/>
          <w:sz w:val="24"/>
          <w:szCs w:val="24"/>
          <w:lang w:val="pt-PT"/>
        </w:rPr>
        <w:t xml:space="preserve">Pedagogia da autonomia: Saberes necessários à prática educativa </w:t>
      </w:r>
      <w:r w:rsidRPr="00FD3154">
        <w:rPr>
          <w:rFonts w:ascii="Times New Roman" w:hAnsi="Times New Roman" w:cs="Times New Roman"/>
          <w:sz w:val="24"/>
          <w:szCs w:val="24"/>
          <w:lang w:val="pt-PT"/>
        </w:rPr>
        <w:t>(15ª ed.). São Paulo: Paz e Terra.</w:t>
      </w:r>
    </w:p>
    <w:p w:rsidR="00EA6AAD" w:rsidRPr="00FD3154" w:rsidRDefault="00EA6AAD" w:rsidP="00F716A1">
      <w:pPr>
        <w:spacing w:after="0" w:line="276" w:lineRule="auto"/>
        <w:ind w:left="1134" w:right="-285" w:hanging="1134"/>
        <w:rPr>
          <w:rFonts w:ascii="Times New Roman" w:hAnsi="Times New Roman" w:cs="Times New Roman"/>
          <w:sz w:val="24"/>
          <w:szCs w:val="24"/>
          <w:lang w:val="fr-FR"/>
        </w:rPr>
      </w:pPr>
      <w:r w:rsidRPr="00FD3154">
        <w:rPr>
          <w:rFonts w:ascii="Times New Roman" w:hAnsi="Times New Roman" w:cs="Times New Roman"/>
          <w:sz w:val="24"/>
          <w:szCs w:val="24"/>
          <w:lang w:val="pt-PT"/>
        </w:rPr>
        <w:t xml:space="preserve">Järviluoma, Helmi, Pirkko Moisala, Anni and Vilkko. </w:t>
      </w:r>
      <w:r w:rsidRPr="00FD3154">
        <w:rPr>
          <w:rFonts w:ascii="Times New Roman" w:hAnsi="Times New Roman" w:cs="Times New Roman"/>
          <w:sz w:val="24"/>
          <w:szCs w:val="24"/>
          <w:lang w:val="en-US"/>
        </w:rPr>
        <w:t>2003.</w:t>
      </w:r>
      <w:r w:rsidRPr="00FD31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Gender and qualitative methods</w:t>
      </w:r>
      <w:r w:rsidRPr="00FD3154">
        <w:rPr>
          <w:rFonts w:ascii="Times New Roman" w:hAnsi="Times New Roman" w:cs="Times New Roman"/>
          <w:sz w:val="24"/>
          <w:szCs w:val="24"/>
          <w:lang w:val="en-US"/>
        </w:rPr>
        <w:t xml:space="preserve">. London: Sage Publications. </w:t>
      </w:r>
      <w:r w:rsidRPr="00FD3154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  <w:lang w:val="fr-FR"/>
        </w:rPr>
        <w:t>DOI:</w:t>
      </w:r>
      <w:r w:rsidRPr="00FD315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 </w:t>
      </w:r>
      <w:hyperlink r:id="rId9" w:tgtFrame="_blank" w:history="1">
        <w:r w:rsidRPr="00FD3154">
          <w:rPr>
            <w:rStyle w:val="Hiperligao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fr-FR"/>
          </w:rPr>
          <w:t>http://dx.doi.org/10.4135/9781849209199</w:t>
        </w:r>
      </w:hyperlink>
      <w:r w:rsidR="000575BB" w:rsidRPr="00FD3154">
        <w:rPr>
          <w:rStyle w:val="Hiperligao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fr-FR"/>
        </w:rPr>
        <w:t xml:space="preserve"> </w:t>
      </w:r>
    </w:p>
    <w:p w:rsidR="00EA6AAD" w:rsidRPr="00FD3154" w:rsidRDefault="00EA6AAD" w:rsidP="00F716A1">
      <w:pPr>
        <w:spacing w:after="0" w:line="276" w:lineRule="auto"/>
        <w:ind w:left="1134" w:right="-285" w:hanging="1134"/>
        <w:rPr>
          <w:rFonts w:ascii="Times New Roman" w:hAnsi="Times New Roman" w:cs="Times New Roman"/>
          <w:sz w:val="24"/>
          <w:szCs w:val="24"/>
          <w:lang w:val="fr-FR"/>
        </w:rPr>
      </w:pPr>
      <w:r w:rsidRPr="00FD3154">
        <w:rPr>
          <w:rFonts w:ascii="Times New Roman" w:hAnsi="Times New Roman" w:cs="Times New Roman"/>
          <w:sz w:val="24"/>
          <w:szCs w:val="24"/>
          <w:lang w:val="fr-CH"/>
        </w:rPr>
        <w:t xml:space="preserve">Mosconi, Nicole. 2009. “Genre et pratiques scolaires: Comment éduquer à l'égalité? ”, In </w:t>
      </w:r>
      <w:r w:rsidRPr="00FD3154">
        <w:rPr>
          <w:rFonts w:ascii="Times New Roman" w:hAnsi="Times New Roman" w:cs="Times New Roman"/>
          <w:i/>
          <w:sz w:val="24"/>
          <w:szCs w:val="24"/>
          <w:lang w:val="fr-CH"/>
        </w:rPr>
        <w:t>Égalité filles-garçons à l'école: Réalités et perspectives (actes)</w:t>
      </w:r>
      <w:r w:rsidRPr="00FD3154">
        <w:rPr>
          <w:rFonts w:ascii="Times New Roman" w:hAnsi="Times New Roman" w:cs="Times New Roman"/>
          <w:sz w:val="24"/>
          <w:szCs w:val="24"/>
          <w:lang w:val="fr-CH"/>
        </w:rPr>
        <w:t xml:space="preserve">, Ministère de l’Éducation National.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Disponible à: </w:t>
      </w:r>
      <w:hyperlink r:id="rId10" w:history="1">
        <w:r w:rsidRPr="00FD3154">
          <w:rPr>
            <w:rStyle w:val="Hiperligao"/>
            <w:rFonts w:ascii="Times New Roman" w:hAnsi="Times New Roman" w:cs="Times New Roman"/>
            <w:color w:val="auto"/>
            <w:sz w:val="24"/>
            <w:szCs w:val="24"/>
            <w:lang w:val="fr-FR"/>
          </w:rPr>
          <w:t>http://eduscol.education.fr/cid47785/genre-et-pratiques-scolaires%C2%A0-comment-eduquer-a-l-egalite%C2%A0.html</w:t>
        </w:r>
      </w:hyperlink>
    </w:p>
    <w:p w:rsidR="00EA6AAD" w:rsidRPr="00FD3154" w:rsidRDefault="00EA6AAD" w:rsidP="000575BB">
      <w:pPr>
        <w:spacing w:after="0" w:line="276" w:lineRule="auto"/>
        <w:ind w:left="1134" w:right="-285" w:hanging="113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D3154">
        <w:rPr>
          <w:rFonts w:ascii="Times New Roman" w:hAnsi="Times New Roman" w:cs="Times New Roman"/>
          <w:sz w:val="24"/>
          <w:szCs w:val="24"/>
          <w:lang w:val="fr-CH"/>
        </w:rPr>
        <w:t xml:space="preserve">Ollagnier, Edmée. 2014. </w:t>
      </w:r>
      <w:r w:rsidRPr="00FD3154">
        <w:rPr>
          <w:rFonts w:ascii="Times New Roman" w:hAnsi="Times New Roman" w:cs="Times New Roman"/>
          <w:i/>
          <w:sz w:val="24"/>
          <w:szCs w:val="24"/>
          <w:lang w:val="fr-CH"/>
        </w:rPr>
        <w:t>Femmes et défis pour la formation des adultes: Un regard critique non-conformiste</w:t>
      </w:r>
      <w:r w:rsidRPr="00FD3154">
        <w:rPr>
          <w:rFonts w:ascii="Times New Roman" w:hAnsi="Times New Roman" w:cs="Times New Roman"/>
          <w:sz w:val="24"/>
          <w:szCs w:val="24"/>
          <w:lang w:val="fr-CH"/>
        </w:rPr>
        <w:t xml:space="preserve">. </w:t>
      </w:r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Paris: </w:t>
      </w:r>
      <w:proofErr w:type="spellStart"/>
      <w:r w:rsidRPr="00FD3154">
        <w:rPr>
          <w:rFonts w:ascii="Times New Roman" w:hAnsi="Times New Roman" w:cs="Times New Roman"/>
          <w:sz w:val="24"/>
          <w:szCs w:val="24"/>
          <w:lang w:val="fr-FR"/>
        </w:rPr>
        <w:t>L´Harmattan</w:t>
      </w:r>
      <w:proofErr w:type="spellEnd"/>
      <w:r w:rsidRPr="00FD315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A6AAD" w:rsidRPr="00FD3154" w:rsidRDefault="00EA6AAD" w:rsidP="00F716A1">
      <w:pPr>
        <w:autoSpaceDE w:val="0"/>
        <w:adjustRightInd w:val="0"/>
        <w:spacing w:after="0" w:line="276" w:lineRule="auto"/>
        <w:ind w:left="1134" w:hanging="113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D3154">
        <w:rPr>
          <w:rFonts w:ascii="Times New Roman" w:hAnsi="Times New Roman" w:cs="Times New Roman"/>
          <w:sz w:val="24"/>
          <w:szCs w:val="24"/>
          <w:lang w:val="fr-FR"/>
        </w:rPr>
        <w:t>Ostrouch-Kaminska</w:t>
      </w:r>
      <w:proofErr w:type="spellEnd"/>
      <w:r w:rsidRPr="00FD3154">
        <w:rPr>
          <w:rFonts w:ascii="Times New Roman" w:hAnsi="Times New Roman" w:cs="Times New Roman"/>
          <w:sz w:val="24"/>
          <w:szCs w:val="24"/>
          <w:lang w:val="fr-FR"/>
        </w:rPr>
        <w:t xml:space="preserve">, Joanna, &amp; Cristina C. Vieira. </w:t>
      </w:r>
      <w:r w:rsidRPr="00FD3154">
        <w:rPr>
          <w:rFonts w:ascii="Times New Roman" w:hAnsi="Times New Roman" w:cs="Times New Roman"/>
          <w:sz w:val="24"/>
          <w:szCs w:val="24"/>
          <w:lang w:val="en-US"/>
        </w:rPr>
        <w:t xml:space="preserve">2015, Eds. </w:t>
      </w:r>
      <w:r w:rsidRPr="00FD315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Private world(s): Gender and informal learning of adults. </w:t>
      </w:r>
      <w:r w:rsidRPr="00FD315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FD3154">
        <w:rPr>
          <w:rFonts w:ascii="Times New Roman" w:hAnsi="Times New Roman" w:cs="Times New Roman"/>
          <w:sz w:val="24"/>
          <w:szCs w:val="24"/>
          <w:lang w:val="en-US"/>
        </w:rPr>
        <w:t>Nertherlands</w:t>
      </w:r>
      <w:proofErr w:type="spellEnd"/>
      <w:r w:rsidRPr="00FD3154">
        <w:rPr>
          <w:rFonts w:ascii="Times New Roman" w:hAnsi="Times New Roman" w:cs="Times New Roman"/>
          <w:sz w:val="24"/>
          <w:szCs w:val="24"/>
          <w:lang w:val="en-US"/>
        </w:rPr>
        <w:t xml:space="preserve">: Sense </w:t>
      </w:r>
      <w:r w:rsidRPr="00FD315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Publishers. </w:t>
      </w:r>
      <w:proofErr w:type="spellStart"/>
      <w:r w:rsidRPr="00FD3154">
        <w:rPr>
          <w:rFonts w:ascii="Times New Roman" w:hAnsi="Times New Roman" w:cs="Times New Roman"/>
          <w:sz w:val="24"/>
          <w:szCs w:val="24"/>
          <w:lang w:val="en-US"/>
        </w:rPr>
        <w:t>Disponible</w:t>
      </w:r>
      <w:proofErr w:type="spellEnd"/>
      <w:r w:rsidRPr="00FD3154">
        <w:rPr>
          <w:rFonts w:ascii="Times New Roman" w:hAnsi="Times New Roman" w:cs="Times New Roman"/>
          <w:sz w:val="24"/>
          <w:szCs w:val="24"/>
          <w:lang w:val="en-US"/>
        </w:rPr>
        <w:t xml:space="preserve"> à: </w:t>
      </w:r>
      <w:hyperlink r:id="rId11" w:history="1">
        <w:r w:rsidRPr="00FD3154">
          <w:rPr>
            <w:rStyle w:val="Hiperligao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https://www.sensepublishers.com/media/2281-private-worlds.pdf</w:t>
        </w:r>
      </w:hyperlink>
    </w:p>
    <w:p w:rsidR="00EA6AAD" w:rsidRPr="00FD3154" w:rsidRDefault="00EA6AAD" w:rsidP="000575BB">
      <w:pPr>
        <w:spacing w:after="0" w:line="276" w:lineRule="auto"/>
        <w:ind w:left="1134" w:right="-285" w:hanging="1134"/>
        <w:jc w:val="both"/>
        <w:rPr>
          <w:rFonts w:ascii="Times New Roman" w:hAnsi="Times New Roman" w:cs="Times New Roman"/>
          <w:sz w:val="24"/>
          <w:szCs w:val="24"/>
        </w:rPr>
      </w:pPr>
      <w:r w:rsidRPr="00FD3154">
        <w:rPr>
          <w:rFonts w:ascii="Times New Roman" w:hAnsi="Times New Roman" w:cs="Times New Roman"/>
          <w:sz w:val="24"/>
          <w:szCs w:val="24"/>
          <w:lang w:val="pt-PT"/>
        </w:rPr>
        <w:t xml:space="preserve">Pinto, Teresa. 2007. “Mulheres, educação e relações sociais de género: Uma perspetiva histórica”, In </w:t>
      </w:r>
      <w:r w:rsidRPr="00FD3154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dimensão de género nos produtos educativos multimédia, </w:t>
      </w:r>
      <w:r w:rsidRPr="00FD3154">
        <w:rPr>
          <w:rFonts w:ascii="Times New Roman" w:hAnsi="Times New Roman" w:cs="Times New Roman"/>
          <w:sz w:val="24"/>
          <w:szCs w:val="24"/>
          <w:lang w:val="pt-PT"/>
        </w:rPr>
        <w:t xml:space="preserve">editado porDGIDC, 31-46. </w:t>
      </w:r>
      <w:r w:rsidRPr="00FD3154">
        <w:rPr>
          <w:rFonts w:ascii="Times New Roman" w:hAnsi="Times New Roman" w:cs="Times New Roman"/>
          <w:sz w:val="24"/>
          <w:szCs w:val="24"/>
        </w:rPr>
        <w:t>Lisboa: DGIDC.</w:t>
      </w:r>
    </w:p>
    <w:p w:rsidR="00EA6AAD" w:rsidRPr="00B70D06" w:rsidRDefault="00EA6AAD" w:rsidP="000575BB">
      <w:pPr>
        <w:spacing w:after="0" w:line="276" w:lineRule="auto"/>
        <w:ind w:left="1134" w:right="-285" w:hanging="1134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proofErr w:type="spellStart"/>
      <w:r w:rsidRPr="00FD3154">
        <w:rPr>
          <w:rFonts w:ascii="Times New Roman" w:hAnsi="Times New Roman" w:cs="Times New Roman"/>
          <w:sz w:val="24"/>
          <w:szCs w:val="24"/>
          <w:lang w:val="es-ES_tradnl"/>
        </w:rPr>
        <w:t>Subirats</w:t>
      </w:r>
      <w:proofErr w:type="spellEnd"/>
      <w:r w:rsidR="00F716A1" w:rsidRPr="00FD315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FD3154">
        <w:rPr>
          <w:rFonts w:ascii="Times New Roman" w:hAnsi="Times New Roman" w:cs="Times New Roman"/>
          <w:sz w:val="24"/>
          <w:szCs w:val="24"/>
          <w:lang w:val="es-ES_tradnl"/>
        </w:rPr>
        <w:t>Martòri</w:t>
      </w:r>
      <w:proofErr w:type="spellEnd"/>
      <w:r w:rsidRPr="00FD3154">
        <w:rPr>
          <w:rFonts w:ascii="Times New Roman" w:hAnsi="Times New Roman" w:cs="Times New Roman"/>
          <w:sz w:val="24"/>
          <w:szCs w:val="24"/>
          <w:lang w:val="es-ES_tradnl"/>
        </w:rPr>
        <w:t xml:space="preserve">, Marina. 2016. “De los dispositivos selectivos en la educación: El caso del sexismo”. </w:t>
      </w:r>
      <w:r w:rsidRPr="00FD3154">
        <w:rPr>
          <w:rFonts w:ascii="Times New Roman" w:hAnsi="Times New Roman" w:cs="Times New Roman"/>
          <w:i/>
          <w:sz w:val="24"/>
          <w:szCs w:val="24"/>
          <w:lang w:val="es-ES_tradnl"/>
        </w:rPr>
        <w:t>Revista de la Asociación de Sociología de la Educación</w:t>
      </w:r>
      <w:r w:rsidRPr="00FD3154">
        <w:rPr>
          <w:rFonts w:ascii="Times New Roman" w:hAnsi="Times New Roman" w:cs="Times New Roman"/>
          <w:sz w:val="24"/>
          <w:szCs w:val="24"/>
          <w:lang w:val="es-ES_tradnl"/>
        </w:rPr>
        <w:t xml:space="preserve"> (RASE) 9 (1): 22-36.</w:t>
      </w:r>
      <w:r w:rsidRPr="00B70D0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:rsidR="005224B1" w:rsidRPr="00B70D06" w:rsidRDefault="005224B1" w:rsidP="000575B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5224B1" w:rsidRPr="00B70D06" w:rsidSect="00EF38E5">
      <w:pgSz w:w="11906" w:h="16838" w:code="9"/>
      <w:pgMar w:top="1418" w:right="1701" w:bottom="1418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F2"/>
    <w:rsid w:val="00001DE7"/>
    <w:rsid w:val="00024D7E"/>
    <w:rsid w:val="000575BB"/>
    <w:rsid w:val="000A65C6"/>
    <w:rsid w:val="000F0B93"/>
    <w:rsid w:val="00114DCB"/>
    <w:rsid w:val="00184C2B"/>
    <w:rsid w:val="001B138E"/>
    <w:rsid w:val="001D6896"/>
    <w:rsid w:val="001D7D34"/>
    <w:rsid w:val="001F1DE2"/>
    <w:rsid w:val="0023032C"/>
    <w:rsid w:val="00244776"/>
    <w:rsid w:val="002543D3"/>
    <w:rsid w:val="00261D0E"/>
    <w:rsid w:val="00286532"/>
    <w:rsid w:val="00293D62"/>
    <w:rsid w:val="00297749"/>
    <w:rsid w:val="002E7813"/>
    <w:rsid w:val="002F22C9"/>
    <w:rsid w:val="002F7D50"/>
    <w:rsid w:val="00304B56"/>
    <w:rsid w:val="0032070A"/>
    <w:rsid w:val="0033369B"/>
    <w:rsid w:val="00351D5A"/>
    <w:rsid w:val="003809B4"/>
    <w:rsid w:val="003A4DCD"/>
    <w:rsid w:val="00435120"/>
    <w:rsid w:val="00457AEC"/>
    <w:rsid w:val="00483958"/>
    <w:rsid w:val="0048414E"/>
    <w:rsid w:val="004925FB"/>
    <w:rsid w:val="004D62C0"/>
    <w:rsid w:val="005201D8"/>
    <w:rsid w:val="005224B1"/>
    <w:rsid w:val="005B4299"/>
    <w:rsid w:val="005B52CD"/>
    <w:rsid w:val="005C3F05"/>
    <w:rsid w:val="005C4831"/>
    <w:rsid w:val="005F0CC3"/>
    <w:rsid w:val="0061400C"/>
    <w:rsid w:val="00623578"/>
    <w:rsid w:val="00631D54"/>
    <w:rsid w:val="00661D08"/>
    <w:rsid w:val="00671936"/>
    <w:rsid w:val="006848CC"/>
    <w:rsid w:val="006A0AF1"/>
    <w:rsid w:val="006A60F4"/>
    <w:rsid w:val="006D2931"/>
    <w:rsid w:val="006E62C4"/>
    <w:rsid w:val="007045D4"/>
    <w:rsid w:val="00723D1D"/>
    <w:rsid w:val="007814AD"/>
    <w:rsid w:val="0078650F"/>
    <w:rsid w:val="007A56EF"/>
    <w:rsid w:val="007B5C23"/>
    <w:rsid w:val="007F2141"/>
    <w:rsid w:val="008000B9"/>
    <w:rsid w:val="00822B23"/>
    <w:rsid w:val="008520F2"/>
    <w:rsid w:val="008F4E94"/>
    <w:rsid w:val="00902D8A"/>
    <w:rsid w:val="00907CB8"/>
    <w:rsid w:val="009E7064"/>
    <w:rsid w:val="009F40C4"/>
    <w:rsid w:val="00A435BD"/>
    <w:rsid w:val="00A73EEF"/>
    <w:rsid w:val="00A82CE7"/>
    <w:rsid w:val="00AB0337"/>
    <w:rsid w:val="00AE2ADE"/>
    <w:rsid w:val="00AF2604"/>
    <w:rsid w:val="00B25CE8"/>
    <w:rsid w:val="00B337E1"/>
    <w:rsid w:val="00B70D06"/>
    <w:rsid w:val="00B762EE"/>
    <w:rsid w:val="00B77D41"/>
    <w:rsid w:val="00BC3313"/>
    <w:rsid w:val="00C277F6"/>
    <w:rsid w:val="00C33BE1"/>
    <w:rsid w:val="00C374E0"/>
    <w:rsid w:val="00C37B20"/>
    <w:rsid w:val="00C65A94"/>
    <w:rsid w:val="00C67154"/>
    <w:rsid w:val="00CB1E3C"/>
    <w:rsid w:val="00CC596D"/>
    <w:rsid w:val="00CD328B"/>
    <w:rsid w:val="00D2626C"/>
    <w:rsid w:val="00D352B5"/>
    <w:rsid w:val="00D3681C"/>
    <w:rsid w:val="00D52FC6"/>
    <w:rsid w:val="00D75051"/>
    <w:rsid w:val="00DE6155"/>
    <w:rsid w:val="00E544E1"/>
    <w:rsid w:val="00E72048"/>
    <w:rsid w:val="00E735AF"/>
    <w:rsid w:val="00E86C4A"/>
    <w:rsid w:val="00EA6AAD"/>
    <w:rsid w:val="00EF38E5"/>
    <w:rsid w:val="00F06800"/>
    <w:rsid w:val="00F34262"/>
    <w:rsid w:val="00F4402B"/>
    <w:rsid w:val="00F4542F"/>
    <w:rsid w:val="00F571D9"/>
    <w:rsid w:val="00F716A1"/>
    <w:rsid w:val="00F85D3F"/>
    <w:rsid w:val="00F96F73"/>
    <w:rsid w:val="00FD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813"/>
    <w:rPr>
      <w:lang w:val="es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BC3313"/>
    <w:rPr>
      <w:strike w:val="0"/>
      <w:dstrike w:val="0"/>
      <w:color w:val="10AFD1"/>
      <w:u w:val="none"/>
      <w:effect w:val="none"/>
    </w:rPr>
  </w:style>
  <w:style w:type="character" w:styleId="Forte">
    <w:name w:val="Strong"/>
    <w:uiPriority w:val="22"/>
    <w:qFormat/>
    <w:rsid w:val="00EA6AAD"/>
    <w:rPr>
      <w:b/>
      <w:bCs/>
    </w:rPr>
  </w:style>
  <w:style w:type="paragraph" w:styleId="Textodenotaderodap">
    <w:name w:val="footnote text"/>
    <w:basedOn w:val="Normal"/>
    <w:link w:val="TextodenotaderodapCarcter"/>
    <w:uiPriority w:val="99"/>
    <w:unhideWhenUsed/>
    <w:rsid w:val="00EA6AA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uiPriority w:val="99"/>
    <w:semiHidden/>
    <w:rsid w:val="00EA6AAD"/>
    <w:rPr>
      <w:sz w:val="20"/>
      <w:szCs w:val="20"/>
      <w:lang w:val="es-ES"/>
    </w:rPr>
  </w:style>
  <w:style w:type="character" w:customStyle="1" w:styleId="TextodenotaderodapCarcter">
    <w:name w:val="Texto de nota de rodapé Carácter"/>
    <w:link w:val="Textodenotaderodap"/>
    <w:uiPriority w:val="99"/>
    <w:rsid w:val="00EA6AAD"/>
    <w:rPr>
      <w:rFonts w:ascii="Calibri" w:eastAsia="Calibri" w:hAnsi="Calibri" w:cs="Times New Roman"/>
      <w:sz w:val="20"/>
      <w:szCs w:val="20"/>
    </w:rPr>
  </w:style>
  <w:style w:type="character" w:customStyle="1" w:styleId="apple-converted-space">
    <w:name w:val="apple-converted-space"/>
    <w:basedOn w:val="Tipodeletrapredefinidodopargrafo"/>
    <w:rsid w:val="00EA6AAD"/>
  </w:style>
  <w:style w:type="character" w:styleId="Hiperligaovisitada">
    <w:name w:val="FollowedHyperlink"/>
    <w:basedOn w:val="Tipodeletrapredefinidodopargrafo"/>
    <w:uiPriority w:val="99"/>
    <w:semiHidden/>
    <w:unhideWhenUsed/>
    <w:rsid w:val="00A435BD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F3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F38E5"/>
    <w:rPr>
      <w:rFonts w:ascii="Segoe UI" w:hAnsi="Segoe UI" w:cs="Segoe UI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813"/>
    <w:rPr>
      <w:lang w:val="es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BC3313"/>
    <w:rPr>
      <w:strike w:val="0"/>
      <w:dstrike w:val="0"/>
      <w:color w:val="10AFD1"/>
      <w:u w:val="none"/>
      <w:effect w:val="none"/>
    </w:rPr>
  </w:style>
  <w:style w:type="character" w:styleId="Forte">
    <w:name w:val="Strong"/>
    <w:uiPriority w:val="22"/>
    <w:qFormat/>
    <w:rsid w:val="00EA6AAD"/>
    <w:rPr>
      <w:b/>
      <w:bCs/>
    </w:rPr>
  </w:style>
  <w:style w:type="paragraph" w:styleId="Textodenotaderodap">
    <w:name w:val="footnote text"/>
    <w:basedOn w:val="Normal"/>
    <w:link w:val="TextodenotaderodapCarcter"/>
    <w:uiPriority w:val="99"/>
    <w:unhideWhenUsed/>
    <w:rsid w:val="00EA6AA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uiPriority w:val="99"/>
    <w:semiHidden/>
    <w:rsid w:val="00EA6AAD"/>
    <w:rPr>
      <w:sz w:val="20"/>
      <w:szCs w:val="20"/>
      <w:lang w:val="es-ES"/>
    </w:rPr>
  </w:style>
  <w:style w:type="character" w:customStyle="1" w:styleId="TextodenotaderodapCarcter">
    <w:name w:val="Texto de nota de rodapé Carácter"/>
    <w:link w:val="Textodenotaderodap"/>
    <w:uiPriority w:val="99"/>
    <w:rsid w:val="00EA6AAD"/>
    <w:rPr>
      <w:rFonts w:ascii="Calibri" w:eastAsia="Calibri" w:hAnsi="Calibri" w:cs="Times New Roman"/>
      <w:sz w:val="20"/>
      <w:szCs w:val="20"/>
    </w:rPr>
  </w:style>
  <w:style w:type="character" w:customStyle="1" w:styleId="apple-converted-space">
    <w:name w:val="apple-converted-space"/>
    <w:basedOn w:val="Tipodeletrapredefinidodopargrafo"/>
    <w:rsid w:val="00EA6AAD"/>
  </w:style>
  <w:style w:type="character" w:styleId="Hiperligaovisitada">
    <w:name w:val="FollowedHyperlink"/>
    <w:basedOn w:val="Tipodeletrapredefinidodopargrafo"/>
    <w:uiPriority w:val="99"/>
    <w:semiHidden/>
    <w:unhideWhenUsed/>
    <w:rsid w:val="00A435BD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F3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F38E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9646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7325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80012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128562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3538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7301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3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40156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83777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3955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5364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5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90129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55177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8695">
              <w:marLeft w:val="0"/>
              <w:marRight w:val="0"/>
              <w:marTop w:val="19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9286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162688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171515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gate.ec.europa.eu/fpfis/mwikis/eurydice/images/1/14/Leaflet_Paris_Declaration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xedrajournal.com/wp-content/uploads/2014/12/sup14-8-17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www.sensepublishers.com/media/2281-private-worlds.pdf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eduscol.education.fr/cid47785/genre-et-pratiques-scolaires%C2%A0-comment-eduquer-a-l-egalite%C2%A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4135/9781849209199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1986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Cristina Vieira</cp:lastModifiedBy>
  <cp:revision>3</cp:revision>
  <cp:lastPrinted>2017-02-13T22:52:00Z</cp:lastPrinted>
  <dcterms:created xsi:type="dcterms:W3CDTF">2017-02-20T00:20:00Z</dcterms:created>
  <dcterms:modified xsi:type="dcterms:W3CDTF">2017-02-20T00:22:00Z</dcterms:modified>
</cp:coreProperties>
</file>